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78304864"/>
        <w:docPartObj>
          <w:docPartGallery w:val="Cover Pages"/>
          <w:docPartUnique/>
        </w:docPartObj>
      </w:sdtPr>
      <w:sdtEndPr/>
      <w:sdtContent>
        <w:p w14:paraId="44A0BA03" w14:textId="77777777" w:rsidR="004F0638" w:rsidRDefault="004F0638" w:rsidP="005C3F10">
          <w:pPr>
            <w:pStyle w:val="TitlePageLogo"/>
            <w:framePr w:wrap="around"/>
          </w:pPr>
          <w:r>
            <w:rPr>
              <w:noProof/>
            </w:rPr>
            <w:drawing>
              <wp:inline distT="0" distB="0" distL="0" distR="0" wp14:anchorId="621357A8" wp14:editId="1B16A46C">
                <wp:extent cx="1295400" cy="1162050"/>
                <wp:effectExtent l="0" t="0" r="0" b="0"/>
                <wp:docPr id="1175165915"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94398" name="MPS" descr="Mornington Peninsula Shire"/>
                        <pic:cNvPicPr/>
                      </pic:nvPicPr>
                      <pic:blipFill>
                        <a:blip r:embed="rId12">
                          <a:extLst>
                            <a:ext uri="{96DAC541-7B7A-43D3-8B79-37D633B846F1}">
                              <asvg:svgBlip xmlns:asvg="http://schemas.microsoft.com/office/drawing/2016/SVG/main" r:embed="rId13"/>
                            </a:ext>
                          </a:extLst>
                        </a:blip>
                        <a:stretch>
                          <a:fillRect/>
                        </a:stretch>
                      </pic:blipFill>
                      <pic:spPr>
                        <a:xfrm>
                          <a:off x="0" y="0"/>
                          <a:ext cx="1295400" cy="1162050"/>
                        </a:xfrm>
                        <a:prstGeom prst="rect">
                          <a:avLst/>
                        </a:prstGeom>
                      </pic:spPr>
                    </pic:pic>
                  </a:graphicData>
                </a:graphic>
              </wp:inline>
            </w:drawing>
          </w:r>
        </w:p>
        <w:sdt>
          <w:sdtPr>
            <w:alias w:val="Title"/>
            <w:tag w:val=""/>
            <w:id w:val="-400759756"/>
            <w:placeholder>
              <w:docPart w:val="D4762D6C5CB84984AE6C50E8255E7A20"/>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650CD64F" w14:textId="5B4EC94F" w:rsidR="004F0638" w:rsidRDefault="008C708A" w:rsidP="0059649A">
              <w:pPr>
                <w:pStyle w:val="Title"/>
                <w:framePr w:wrap="around" w:x="563"/>
                <w:spacing w:after="40"/>
              </w:pPr>
              <w:r>
                <w:t>Reconciliation Action Plan</w:t>
              </w:r>
            </w:p>
          </w:sdtContent>
        </w:sdt>
        <w:p w14:paraId="1A9A42A2" w14:textId="7D867932" w:rsidR="00657BD2" w:rsidRDefault="009C5F07" w:rsidP="0059649A">
          <w:pPr>
            <w:pStyle w:val="Subtitle"/>
            <w:framePr w:wrap="around" w:x="563"/>
          </w:pPr>
          <w:r>
            <w:t xml:space="preserve">Innovate </w:t>
          </w:r>
          <w:r w:rsidR="002B773E">
            <w:t>2025-2027</w:t>
          </w:r>
        </w:p>
        <w:p w14:paraId="48797EEE" w14:textId="2B325E88" w:rsidR="004F0638" w:rsidRDefault="004F0638" w:rsidP="00DA4AC9">
          <w:pPr>
            <w:pStyle w:val="NoSpacing"/>
          </w:pPr>
          <w:r>
            <w:rPr>
              <w:noProof/>
            </w:rPr>
            <mc:AlternateContent>
              <mc:Choice Requires="wps">
                <w:drawing>
                  <wp:anchor distT="0" distB="0" distL="114300" distR="114300" simplePos="0" relativeHeight="251658240" behindDoc="1" locked="1" layoutInCell="1" allowOverlap="1" wp14:anchorId="4EAE7549" wp14:editId="03B0C92E">
                    <wp:simplePos x="0" y="0"/>
                    <wp:positionH relativeFrom="page">
                      <wp:posOffset>0</wp:posOffset>
                    </wp:positionH>
                    <wp:positionV relativeFrom="paragraph">
                      <wp:posOffset>-720090</wp:posOffset>
                    </wp:positionV>
                    <wp:extent cx="7559675" cy="10691495"/>
                    <wp:effectExtent l="0" t="0" r="22225" b="14605"/>
                    <wp:wrapNone/>
                    <wp:docPr id="1411830075" name="Backgrou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022A9DA" w14:textId="39BC2402" w:rsidR="00230D80" w:rsidRDefault="0059649A" w:rsidP="0059649A">
                                <w:pPr>
                                  <w:pStyle w:val="Subtitle"/>
                                </w:pPr>
                                <w:r>
                                  <w:t xml:space="preserve">     </w:t>
                                </w:r>
                                <w:r w:rsidR="00230D80">
                                  <w:t>Progress Report 2025-2026</w:t>
                                </w:r>
                              </w:p>
                              <w:p w14:paraId="16A2EED3" w14:textId="77777777" w:rsidR="00230D80" w:rsidRDefault="00230D80" w:rsidP="00230D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E7549" id="Background" o:spid="_x0000_s1026" alt="&quot;&quot;" style="position:absolute;margin-left:0;margin-top:-56.7pt;width:595.25pt;height:84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" fillcolor="#1e4371 [3215]" strokecolor="#16230c [484]" strokeweight="2pt">
                    <v:textbox>
                      <w:txbxContent>
                        <w:p w14:paraId="3022A9DA" w14:textId="39BC2402" w:rsidR="00230D80" w:rsidRDefault="0059649A" w:rsidP="0059649A">
                          <w:pPr>
                            <w:pStyle w:val="Subtitle"/>
                          </w:pPr>
                          <w:r>
                            <w:t xml:space="preserve">     </w:t>
                          </w:r>
                          <w:r w:rsidR="00230D80">
                            <w:t>Progress Report 2025-2026</w:t>
                          </w:r>
                        </w:p>
                        <w:p w14:paraId="16A2EED3" w14:textId="77777777" w:rsidR="00230D80" w:rsidRDefault="00230D80" w:rsidP="00230D80">
                          <w:pPr>
                            <w:jc w:val="center"/>
                          </w:pPr>
                        </w:p>
                      </w:txbxContent>
                    </v:textbox>
                    <w10:wrap anchorx="page"/>
                    <w10:anchorlock/>
                  </v:rect>
                </w:pict>
              </mc:Fallback>
            </mc:AlternateContent>
          </w:r>
        </w:p>
        <w:p w14:paraId="78075191" w14:textId="795BC3A3" w:rsidR="004F0638" w:rsidRPr="00DA4AC9" w:rsidRDefault="005A12C1" w:rsidP="005A12C1">
          <w:pPr>
            <w:pStyle w:val="NoSpacing"/>
            <w:tabs>
              <w:tab w:val="left" w:pos="9850"/>
            </w:tabs>
          </w:pPr>
          <w:r>
            <w:tab/>
          </w:r>
        </w:p>
        <w:p w14:paraId="4BD11119" w14:textId="4B48E0A3" w:rsidR="004F0638" w:rsidRPr="00E95C6E" w:rsidRDefault="004F0638" w:rsidP="00DA4AC9">
          <w:pPr>
            <w:pStyle w:val="NoSpacing"/>
          </w:pPr>
        </w:p>
        <w:p w14:paraId="2E89DBCD" w14:textId="4661485E" w:rsidR="004F0638" w:rsidRDefault="000E5790">
          <w:r w:rsidRPr="0084372B">
            <w:rPr>
              <w:noProof/>
            </w:rPr>
            <w:drawing>
              <wp:anchor distT="0" distB="0" distL="114300" distR="114300" simplePos="0" relativeHeight="251658241" behindDoc="0" locked="0" layoutInCell="1" allowOverlap="1" wp14:anchorId="6CD4A83E" wp14:editId="15F26F44">
                <wp:simplePos x="0" y="0"/>
                <wp:positionH relativeFrom="margin">
                  <wp:align>center</wp:align>
                </wp:positionH>
                <wp:positionV relativeFrom="margin">
                  <wp:posOffset>4692031</wp:posOffset>
                </wp:positionV>
                <wp:extent cx="6673850" cy="5041900"/>
                <wp:effectExtent l="0" t="0" r="0" b="6350"/>
                <wp:wrapSquare wrapText="bothSides"/>
                <wp:docPr id="265826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26582" name=""/>
                        <pic:cNvPicPr/>
                      </pic:nvPicPr>
                      <pic:blipFill rotWithShape="1">
                        <a:blip r:embed="rId14">
                          <a:extLst>
                            <a:ext uri="{28A0092B-C50C-407E-A947-70E740481C1C}">
                              <a14:useLocalDpi xmlns:a14="http://schemas.microsoft.com/office/drawing/2010/main" val="0"/>
                            </a:ext>
                          </a:extLst>
                        </a:blip>
                        <a:srcRect l="2" r="2"/>
                        <a:stretch>
                          <a:fillRect/>
                        </a:stretch>
                      </pic:blipFill>
                      <pic:spPr>
                        <a:xfrm>
                          <a:off x="0" y="0"/>
                          <a:ext cx="6673850" cy="5041900"/>
                        </a:xfrm>
                        <a:prstGeom prst="rect">
                          <a:avLst/>
                        </a:prstGeom>
                      </pic:spPr>
                    </pic:pic>
                  </a:graphicData>
                </a:graphic>
                <wp14:sizeRelH relativeFrom="margin">
                  <wp14:pctWidth>0</wp14:pctWidth>
                </wp14:sizeRelH>
                <wp14:sizeRelV relativeFrom="margin">
                  <wp14:pctHeight>0</wp14:pctHeight>
                </wp14:sizeRelV>
              </wp:anchor>
            </w:drawing>
          </w:r>
          <w:r w:rsidR="004F0638">
            <w:br w:type="page"/>
          </w:r>
        </w:p>
      </w:sdtContent>
    </w:sdt>
    <w:p w14:paraId="3F9E9D64" w14:textId="77777777" w:rsidR="005A12C1" w:rsidRPr="00541B21" w:rsidRDefault="005A12C1" w:rsidP="005A12C1">
      <w:pPr>
        <w:rPr>
          <w:rFonts w:asciiTheme="majorHAnsi" w:hAnsiTheme="majorHAnsi" w:cstheme="majorHAnsi"/>
          <w:sz w:val="20"/>
          <w:szCs w:val="20"/>
        </w:rPr>
      </w:pPr>
      <w:r w:rsidRPr="00541B21">
        <w:rPr>
          <w:rFonts w:asciiTheme="majorHAnsi" w:hAnsiTheme="majorHAnsi" w:cstheme="majorHAnsi"/>
          <w:sz w:val="20"/>
          <w:szCs w:val="20"/>
        </w:rPr>
        <w:lastRenderedPageBreak/>
        <w:t>Acknowledgement</w:t>
      </w:r>
    </w:p>
    <w:p w14:paraId="4308D49A" w14:textId="77777777" w:rsidR="005A12C1" w:rsidRPr="00541B21" w:rsidRDefault="005A12C1" w:rsidP="005A12C1">
      <w:pPr>
        <w:rPr>
          <w:rFonts w:ascii="Poppins" w:hAnsi="Poppins" w:cs="Poppins"/>
          <w:sz w:val="20"/>
          <w:szCs w:val="20"/>
        </w:rPr>
      </w:pPr>
      <w:r w:rsidRPr="00541B21">
        <w:rPr>
          <w:rFonts w:ascii="Poppins" w:hAnsi="Poppins" w:cs="Poppins"/>
          <w:sz w:val="20"/>
          <w:szCs w:val="20"/>
        </w:rPr>
        <w:t>Mornington Peninsula Shire Council (Council) acknowledges and pays respect to the elders, families and ancestors of the Bunurong people, who have been the custodians of this land for many thousands of years. We acknowledge that the land on which we meet is the place of age-old ceremonies, celebrations, initiation and renewal; and that the Bunurong peoples' living culture continues to have a unique role in the life of this region.</w:t>
      </w:r>
    </w:p>
    <w:p w14:paraId="44D0F887" w14:textId="77777777" w:rsidR="005A12C1" w:rsidRPr="00541B21" w:rsidRDefault="005A12C1" w:rsidP="005A12C1">
      <w:pPr>
        <w:rPr>
          <w:rFonts w:ascii="Poppins" w:hAnsi="Poppins" w:cs="Poppins"/>
          <w:sz w:val="20"/>
          <w:szCs w:val="20"/>
        </w:rPr>
      </w:pPr>
      <w:r w:rsidRPr="00541B21">
        <w:rPr>
          <w:rFonts w:ascii="Poppins" w:hAnsi="Poppins" w:cs="Poppins"/>
          <w:sz w:val="20"/>
          <w:szCs w:val="20"/>
        </w:rPr>
        <w:t>We are committed to the cultural safety of Aboriginal and Torres Strait Islander, multicultural communities and LGBTIQA+ people.</w:t>
      </w:r>
    </w:p>
    <w:p w14:paraId="1FDB320E" w14:textId="77777777" w:rsidR="005A12C1" w:rsidRPr="00541B21" w:rsidRDefault="005A12C1" w:rsidP="005A12C1">
      <w:pPr>
        <w:rPr>
          <w:rFonts w:ascii="Poppins" w:hAnsi="Poppins" w:cs="Poppins"/>
          <w:sz w:val="20"/>
          <w:szCs w:val="20"/>
        </w:rPr>
      </w:pPr>
      <w:r w:rsidRPr="00541B21">
        <w:rPr>
          <w:rFonts w:ascii="Poppins" w:hAnsi="Poppins" w:cs="Poppins"/>
          <w:sz w:val="20"/>
          <w:szCs w:val="20"/>
        </w:rPr>
        <w:t>We respectfully acknowledge people with disability, people who are neurodivergent and carers as we strive for a more accessible and inclusive society.</w:t>
      </w:r>
    </w:p>
    <w:p w14:paraId="371C02DA" w14:textId="77777777" w:rsidR="005A12C1" w:rsidRPr="00541B21" w:rsidRDefault="005A12C1" w:rsidP="005A12C1">
      <w:pPr>
        <w:rPr>
          <w:rFonts w:ascii="Poppins" w:hAnsi="Poppins" w:cs="Poppins"/>
          <w:sz w:val="20"/>
          <w:szCs w:val="20"/>
        </w:rPr>
      </w:pPr>
    </w:p>
    <w:p w14:paraId="48A62EC6" w14:textId="77777777" w:rsidR="005A12C1" w:rsidRPr="00541B21" w:rsidRDefault="005A12C1" w:rsidP="005A12C1">
      <w:pPr>
        <w:rPr>
          <w:rFonts w:asciiTheme="majorHAnsi" w:hAnsiTheme="majorHAnsi" w:cstheme="majorHAnsi"/>
          <w:sz w:val="20"/>
          <w:szCs w:val="20"/>
        </w:rPr>
      </w:pPr>
      <w:r w:rsidRPr="00541B21">
        <w:rPr>
          <w:rFonts w:asciiTheme="majorHAnsi" w:hAnsiTheme="majorHAnsi" w:cstheme="majorHAnsi"/>
          <w:sz w:val="20"/>
          <w:szCs w:val="20"/>
        </w:rPr>
        <w:t xml:space="preserve">Language statement </w:t>
      </w:r>
    </w:p>
    <w:p w14:paraId="58188239" w14:textId="77777777" w:rsidR="00687647" w:rsidRPr="00541B21" w:rsidRDefault="005A12C1" w:rsidP="005A12C1">
      <w:pPr>
        <w:rPr>
          <w:rFonts w:ascii="Poppins" w:hAnsi="Poppins" w:cs="Poppins"/>
          <w:sz w:val="20"/>
          <w:szCs w:val="20"/>
        </w:rPr>
      </w:pPr>
      <w:r w:rsidRPr="00541B21">
        <w:rPr>
          <w:rFonts w:ascii="Poppins" w:hAnsi="Poppins" w:cs="Poppins"/>
          <w:sz w:val="20"/>
          <w:szCs w:val="20"/>
        </w:rPr>
        <w:t xml:space="preserve">Mornington Peninsula Shire Council acknowledges that inclusive language is integral for promoting inclusion across the community. We understand that language is always changing and recognise that words have different meanings for different people. Preferences about how language is used reflects the different ways people consider their identity, experiences, and attitudes within the community. </w:t>
      </w:r>
    </w:p>
    <w:p w14:paraId="63F9645C" w14:textId="77777777" w:rsidR="00687647" w:rsidRPr="00541B21" w:rsidRDefault="005A12C1" w:rsidP="005A12C1">
      <w:pPr>
        <w:rPr>
          <w:rFonts w:ascii="Poppins" w:hAnsi="Poppins" w:cs="Poppins"/>
          <w:sz w:val="20"/>
          <w:szCs w:val="20"/>
        </w:rPr>
      </w:pPr>
      <w:r w:rsidRPr="00541B21">
        <w:rPr>
          <w:rFonts w:ascii="Poppins" w:hAnsi="Poppins" w:cs="Poppins"/>
          <w:sz w:val="20"/>
          <w:szCs w:val="20"/>
        </w:rPr>
        <w:t xml:space="preserve">Council is committed to continually listening and understanding our communities' preferences and the best way to use language to promote inclusion. We have chosen to use person-first language which emphasises a person's right to an identity beyond their disability, race, gender, and/or sexuality. </w:t>
      </w:r>
    </w:p>
    <w:p w14:paraId="2A5D4A02" w14:textId="3F48B94C" w:rsidR="005A12C1" w:rsidRPr="00541B21" w:rsidRDefault="005A12C1" w:rsidP="005A12C1">
      <w:pPr>
        <w:rPr>
          <w:rFonts w:ascii="Poppins" w:hAnsi="Poppins" w:cs="Poppins"/>
          <w:sz w:val="20"/>
          <w:szCs w:val="20"/>
        </w:rPr>
        <w:sectPr w:rsidR="005A12C1" w:rsidRPr="00541B21" w:rsidSect="00013DD6">
          <w:headerReference w:type="default" r:id="rId15"/>
          <w:footerReference w:type="default" r:id="rId16"/>
          <w:pgSz w:w="11907" w:h="16839" w:code="9"/>
          <w:pgMar w:top="1134" w:right="1134" w:bottom="1134" w:left="1134" w:header="284" w:footer="737" w:gutter="0"/>
          <w:pgNumType w:start="0"/>
          <w:cols w:space="708"/>
          <w:titlePg/>
          <w:docGrid w:linePitch="360"/>
        </w:sectPr>
      </w:pPr>
      <w:r w:rsidRPr="00541B21">
        <w:rPr>
          <w:rFonts w:ascii="Poppins" w:hAnsi="Poppins" w:cs="Poppins"/>
          <w:sz w:val="20"/>
          <w:szCs w:val="20"/>
        </w:rPr>
        <w:t>Council uses the acronym LGBTIQA+ which stands for lesbian, gay, bisexual, transgender, intersex, queer/questioning, asexual. The plus sign acknowledges that there are other diverse gender and sexual identities which may not covered by the letters LGBTIQ</w:t>
      </w:r>
      <w:r w:rsidR="00553A18" w:rsidRPr="00541B21">
        <w:rPr>
          <w:rFonts w:ascii="Poppins" w:hAnsi="Poppins" w:cs="Poppins"/>
          <w:sz w:val="20"/>
          <w:szCs w:val="20"/>
        </w:rPr>
        <w:t>A.</w:t>
      </w:r>
    </w:p>
    <w:p w14:paraId="79C21AA4" w14:textId="66953ADB" w:rsidR="00402A2C" w:rsidRPr="00541B21" w:rsidRDefault="004069F6" w:rsidP="004A3916">
      <w:pPr>
        <w:pStyle w:val="TOCHeading"/>
        <w:rPr>
          <w:rFonts w:cstheme="majorHAnsi"/>
          <w:sz w:val="24"/>
          <w:szCs w:val="24"/>
        </w:rPr>
      </w:pPr>
      <w:r w:rsidRPr="00541B21">
        <w:rPr>
          <w:rFonts w:cstheme="majorHAnsi"/>
          <w:sz w:val="24"/>
          <w:szCs w:val="24"/>
        </w:rPr>
        <w:lastRenderedPageBreak/>
        <w:t>Contents</w:t>
      </w:r>
    </w:p>
    <w:sdt>
      <w:sdtPr>
        <w:rPr>
          <w:rFonts w:ascii="Poppins" w:hAnsi="Poppins" w:cs="Poppins"/>
          <w:bCs w:val="0"/>
          <w:sz w:val="20"/>
          <w:szCs w:val="20"/>
        </w:rPr>
        <w:id w:val="1565520006"/>
        <w:docPartObj>
          <w:docPartGallery w:val="Table of Contents"/>
          <w:docPartUnique/>
        </w:docPartObj>
      </w:sdtPr>
      <w:sdtEndPr>
        <w:rPr>
          <w:b/>
          <w:bCs/>
          <w:lang w:val="es-ES"/>
        </w:rPr>
      </w:sdtEndPr>
      <w:sdtContent>
        <w:p w14:paraId="06356693" w14:textId="00A5C29F" w:rsidR="0072722D" w:rsidRDefault="00402A2C">
          <w:pPr>
            <w:pStyle w:val="TOC1"/>
            <w:rPr>
              <w:rFonts w:asciiTheme="minorHAnsi" w:eastAsiaTheme="minorEastAsia" w:hAnsiTheme="minorHAnsi" w:cstheme="minorBidi"/>
              <w:bCs w:val="0"/>
              <w:noProof/>
              <w:kern w:val="2"/>
              <w:szCs w:val="24"/>
              <w14:ligatures w14:val="standardContextual"/>
            </w:rPr>
          </w:pPr>
          <w:r w:rsidRPr="00541B21">
            <w:rPr>
              <w:rFonts w:ascii="Poppins" w:hAnsi="Poppins" w:cs="Poppins"/>
              <w:bCs w:val="0"/>
              <w:sz w:val="20"/>
              <w:szCs w:val="20"/>
            </w:rPr>
            <w:fldChar w:fldCharType="begin"/>
          </w:r>
          <w:r w:rsidRPr="00541B21">
            <w:rPr>
              <w:rFonts w:ascii="Poppins" w:hAnsi="Poppins" w:cs="Poppins"/>
              <w:sz w:val="20"/>
              <w:szCs w:val="20"/>
            </w:rPr>
            <w:instrText xml:space="preserve"> TOC \o "1-2" \h \z \u </w:instrText>
          </w:r>
          <w:r w:rsidRPr="00541B21">
            <w:rPr>
              <w:rFonts w:ascii="Poppins" w:hAnsi="Poppins" w:cs="Poppins"/>
              <w:bCs w:val="0"/>
              <w:sz w:val="20"/>
              <w:szCs w:val="20"/>
            </w:rPr>
            <w:fldChar w:fldCharType="separate"/>
          </w:r>
          <w:hyperlink w:anchor="_Toc237424292" w:history="1">
            <w:r w:rsidR="0072722D" w:rsidRPr="00B5340A">
              <w:rPr>
                <w:rStyle w:val="Hyperlink"/>
                <w:rFonts w:cstheme="majorHAnsi"/>
                <w:noProof/>
              </w:rPr>
              <w:t>1.</w:t>
            </w:r>
            <w:r w:rsidR="0072722D">
              <w:rPr>
                <w:rFonts w:asciiTheme="minorHAnsi" w:eastAsiaTheme="minorEastAsia" w:hAnsiTheme="minorHAnsi" w:cstheme="minorBidi"/>
                <w:bCs w:val="0"/>
                <w:noProof/>
                <w:kern w:val="2"/>
                <w:szCs w:val="24"/>
                <w14:ligatures w14:val="standardContextual"/>
              </w:rPr>
              <w:tab/>
            </w:r>
            <w:r w:rsidR="0072722D" w:rsidRPr="00B5340A">
              <w:rPr>
                <w:rStyle w:val="Hyperlink"/>
                <w:rFonts w:cstheme="majorHAnsi"/>
                <w:noProof/>
              </w:rPr>
              <w:t>Background</w:t>
            </w:r>
            <w:r w:rsidR="0072722D">
              <w:rPr>
                <w:noProof/>
                <w:webHidden/>
              </w:rPr>
              <w:tab/>
            </w:r>
            <w:r w:rsidR="0072722D">
              <w:rPr>
                <w:noProof/>
                <w:webHidden/>
              </w:rPr>
              <w:fldChar w:fldCharType="begin"/>
            </w:r>
            <w:r w:rsidR="0072722D">
              <w:rPr>
                <w:noProof/>
                <w:webHidden/>
              </w:rPr>
              <w:instrText xml:space="preserve"> PAGEREF _Toc237424292 \h </w:instrText>
            </w:r>
            <w:r w:rsidR="0072722D">
              <w:rPr>
                <w:noProof/>
                <w:webHidden/>
              </w:rPr>
            </w:r>
            <w:r w:rsidR="0072722D">
              <w:rPr>
                <w:noProof/>
                <w:webHidden/>
              </w:rPr>
              <w:fldChar w:fldCharType="separate"/>
            </w:r>
            <w:r w:rsidR="0059649A">
              <w:rPr>
                <w:noProof/>
                <w:webHidden/>
              </w:rPr>
              <w:t>3</w:t>
            </w:r>
            <w:r w:rsidR="0072722D">
              <w:rPr>
                <w:noProof/>
                <w:webHidden/>
              </w:rPr>
              <w:fldChar w:fldCharType="end"/>
            </w:r>
          </w:hyperlink>
        </w:p>
        <w:p w14:paraId="05134C5F" w14:textId="23EC5D21" w:rsidR="0072722D" w:rsidRDefault="0072722D">
          <w:pPr>
            <w:pStyle w:val="TOC1"/>
            <w:rPr>
              <w:rFonts w:asciiTheme="minorHAnsi" w:eastAsiaTheme="minorEastAsia" w:hAnsiTheme="minorHAnsi" w:cstheme="minorBidi"/>
              <w:bCs w:val="0"/>
              <w:noProof/>
              <w:kern w:val="2"/>
              <w:szCs w:val="24"/>
              <w14:ligatures w14:val="standardContextual"/>
            </w:rPr>
          </w:pPr>
          <w:hyperlink w:anchor="_Toc237424294" w:history="1">
            <w:r>
              <w:rPr>
                <w:rStyle w:val="Hyperlink"/>
                <w:rFonts w:cstheme="majorHAnsi"/>
                <w:noProof/>
              </w:rPr>
              <w:t>2</w:t>
            </w:r>
            <w:r w:rsidRPr="00B5340A">
              <w:rPr>
                <w:rStyle w:val="Hyperlink"/>
                <w:rFonts w:cstheme="majorHAnsi"/>
                <w:noProof/>
              </w:rPr>
              <w:t>.</w:t>
            </w:r>
            <w:r>
              <w:rPr>
                <w:rFonts w:asciiTheme="minorHAnsi" w:eastAsiaTheme="minorEastAsia" w:hAnsiTheme="minorHAnsi" w:cstheme="minorBidi"/>
                <w:bCs w:val="0"/>
                <w:noProof/>
                <w:kern w:val="2"/>
                <w:szCs w:val="24"/>
                <w14:ligatures w14:val="standardContextual"/>
              </w:rPr>
              <w:tab/>
            </w:r>
            <w:r w:rsidRPr="00B5340A">
              <w:rPr>
                <w:rStyle w:val="Hyperlink"/>
                <w:rFonts w:cstheme="majorHAnsi"/>
                <w:noProof/>
              </w:rPr>
              <w:t>Key achievements by goal</w:t>
            </w:r>
            <w:r>
              <w:rPr>
                <w:noProof/>
                <w:webHidden/>
              </w:rPr>
              <w:tab/>
            </w:r>
            <w:r>
              <w:rPr>
                <w:noProof/>
                <w:webHidden/>
              </w:rPr>
              <w:fldChar w:fldCharType="begin"/>
            </w:r>
            <w:r>
              <w:rPr>
                <w:noProof/>
                <w:webHidden/>
              </w:rPr>
              <w:instrText xml:space="preserve"> PAGEREF _Toc237424294 \h </w:instrText>
            </w:r>
            <w:r>
              <w:rPr>
                <w:noProof/>
                <w:webHidden/>
              </w:rPr>
            </w:r>
            <w:r>
              <w:rPr>
                <w:noProof/>
                <w:webHidden/>
              </w:rPr>
              <w:fldChar w:fldCharType="separate"/>
            </w:r>
            <w:r w:rsidR="0059649A">
              <w:rPr>
                <w:noProof/>
                <w:webHidden/>
              </w:rPr>
              <w:t>4</w:t>
            </w:r>
            <w:r>
              <w:rPr>
                <w:noProof/>
                <w:webHidden/>
              </w:rPr>
              <w:fldChar w:fldCharType="end"/>
            </w:r>
          </w:hyperlink>
        </w:p>
        <w:p w14:paraId="50658445" w14:textId="2A90B6E2" w:rsidR="0072722D" w:rsidRDefault="0072722D">
          <w:pPr>
            <w:pStyle w:val="TOC1"/>
            <w:rPr>
              <w:rFonts w:asciiTheme="minorHAnsi" w:eastAsiaTheme="minorEastAsia" w:hAnsiTheme="minorHAnsi" w:cstheme="minorBidi"/>
              <w:bCs w:val="0"/>
              <w:noProof/>
              <w:kern w:val="2"/>
              <w:szCs w:val="24"/>
              <w14:ligatures w14:val="standardContextual"/>
            </w:rPr>
          </w:pPr>
          <w:hyperlink w:anchor="_Toc237424295" w:history="1">
            <w:r>
              <w:rPr>
                <w:rStyle w:val="Hyperlink"/>
                <w:rFonts w:cstheme="majorHAnsi"/>
                <w:noProof/>
              </w:rPr>
              <w:t>3</w:t>
            </w:r>
            <w:r w:rsidRPr="00B5340A">
              <w:rPr>
                <w:rStyle w:val="Hyperlink"/>
                <w:rFonts w:cstheme="majorHAnsi"/>
                <w:noProof/>
              </w:rPr>
              <w:t>.</w:t>
            </w:r>
            <w:r>
              <w:rPr>
                <w:rFonts w:asciiTheme="minorHAnsi" w:eastAsiaTheme="minorEastAsia" w:hAnsiTheme="minorHAnsi" w:cstheme="minorBidi"/>
                <w:bCs w:val="0"/>
                <w:noProof/>
                <w:kern w:val="2"/>
                <w:szCs w:val="24"/>
                <w14:ligatures w14:val="standardContextual"/>
              </w:rPr>
              <w:tab/>
            </w:r>
            <w:r w:rsidR="0058766E">
              <w:rPr>
                <w:rStyle w:val="Hyperlink"/>
                <w:rFonts w:cstheme="majorHAnsi"/>
                <w:noProof/>
              </w:rPr>
              <w:t>Progress</w:t>
            </w:r>
            <w:r w:rsidRPr="00B5340A">
              <w:rPr>
                <w:rStyle w:val="Hyperlink"/>
                <w:rFonts w:cstheme="majorHAnsi"/>
                <w:noProof/>
              </w:rPr>
              <w:t xml:space="preserve"> Report</w:t>
            </w:r>
            <w:r>
              <w:rPr>
                <w:noProof/>
                <w:webHidden/>
              </w:rPr>
              <w:tab/>
            </w:r>
            <w:r>
              <w:rPr>
                <w:noProof/>
                <w:webHidden/>
              </w:rPr>
              <w:fldChar w:fldCharType="begin"/>
            </w:r>
            <w:r>
              <w:rPr>
                <w:noProof/>
                <w:webHidden/>
              </w:rPr>
              <w:instrText xml:space="preserve"> PAGEREF _Toc237424295 \h </w:instrText>
            </w:r>
            <w:r>
              <w:rPr>
                <w:noProof/>
                <w:webHidden/>
              </w:rPr>
            </w:r>
            <w:r>
              <w:rPr>
                <w:noProof/>
                <w:webHidden/>
              </w:rPr>
              <w:fldChar w:fldCharType="separate"/>
            </w:r>
            <w:r w:rsidR="0059649A">
              <w:rPr>
                <w:noProof/>
                <w:webHidden/>
              </w:rPr>
              <w:t>5</w:t>
            </w:r>
            <w:r>
              <w:rPr>
                <w:noProof/>
                <w:webHidden/>
              </w:rPr>
              <w:fldChar w:fldCharType="end"/>
            </w:r>
          </w:hyperlink>
        </w:p>
        <w:p w14:paraId="357382D3" w14:textId="619027E7" w:rsidR="00402A2C" w:rsidRPr="00541B21" w:rsidRDefault="00402A2C" w:rsidP="00402A2C">
          <w:pPr>
            <w:rPr>
              <w:rFonts w:ascii="Poppins" w:hAnsi="Poppins" w:cs="Poppins"/>
              <w:sz w:val="20"/>
              <w:szCs w:val="20"/>
            </w:rPr>
          </w:pPr>
          <w:r w:rsidRPr="00541B21">
            <w:rPr>
              <w:rFonts w:ascii="Poppins" w:hAnsi="Poppins" w:cs="Poppins"/>
              <w:b/>
              <w:bCs/>
              <w:sz w:val="20"/>
              <w:szCs w:val="20"/>
              <w:lang w:val="es-ES"/>
            </w:rPr>
            <w:fldChar w:fldCharType="end"/>
          </w:r>
        </w:p>
      </w:sdtContent>
    </w:sdt>
    <w:p w14:paraId="2B6EA575" w14:textId="77777777" w:rsidR="004A3916" w:rsidRPr="00541B21" w:rsidRDefault="004A3916" w:rsidP="004A3916">
      <w:pPr>
        <w:rPr>
          <w:rFonts w:ascii="Poppins" w:hAnsi="Poppins" w:cs="Poppins"/>
          <w:sz w:val="20"/>
          <w:szCs w:val="20"/>
        </w:rPr>
      </w:pPr>
    </w:p>
    <w:p w14:paraId="4ECE33F3" w14:textId="6373BC7B" w:rsidR="00F848A8" w:rsidRPr="00541B21" w:rsidRDefault="00F848A8" w:rsidP="00402A2C">
      <w:pPr>
        <w:pStyle w:val="TOC1"/>
        <w:rPr>
          <w:rFonts w:ascii="Poppins" w:hAnsi="Poppins" w:cs="Poppins"/>
          <w:sz w:val="20"/>
          <w:szCs w:val="20"/>
        </w:rPr>
      </w:pPr>
    </w:p>
    <w:p w14:paraId="6A129725" w14:textId="7A150B12" w:rsidR="00F848A8" w:rsidRPr="00541B21" w:rsidRDefault="00013DD6">
      <w:pPr>
        <w:rPr>
          <w:rFonts w:ascii="Poppins" w:hAnsi="Poppins" w:cs="Poppins"/>
          <w:sz w:val="20"/>
          <w:szCs w:val="20"/>
        </w:rPr>
      </w:pPr>
      <w:r w:rsidRPr="00541B21">
        <w:rPr>
          <w:rFonts w:ascii="Poppins" w:hAnsi="Poppins" w:cs="Poppins"/>
          <w:sz w:val="20"/>
          <w:szCs w:val="20"/>
        </w:rPr>
        <w:br w:type="page"/>
      </w:r>
    </w:p>
    <w:p w14:paraId="57ABBED4" w14:textId="528E4190" w:rsidR="00F848A8" w:rsidRPr="00541B21" w:rsidRDefault="00F848A8" w:rsidP="004A4A3B">
      <w:pPr>
        <w:pStyle w:val="Heading1"/>
        <w:spacing w:before="0"/>
        <w:rPr>
          <w:rFonts w:asciiTheme="majorHAnsi" w:hAnsiTheme="majorHAnsi" w:cstheme="majorHAnsi"/>
          <w:szCs w:val="28"/>
        </w:rPr>
      </w:pPr>
      <w:bookmarkStart w:id="0" w:name="_Toc237424292"/>
      <w:r w:rsidRPr="00541B21">
        <w:rPr>
          <w:rFonts w:asciiTheme="majorHAnsi" w:hAnsiTheme="majorHAnsi" w:cstheme="majorHAnsi"/>
          <w:szCs w:val="28"/>
        </w:rPr>
        <w:lastRenderedPageBreak/>
        <w:t>Background</w:t>
      </w:r>
      <w:bookmarkEnd w:id="0"/>
    </w:p>
    <w:p w14:paraId="084E7A06" w14:textId="1825FC76" w:rsidR="002D33A9" w:rsidRDefault="0084248D" w:rsidP="003D1943">
      <w:pPr>
        <w:rPr>
          <w:rFonts w:ascii="Poppins" w:hAnsi="Poppins" w:cs="Poppins"/>
          <w:sz w:val="20"/>
          <w:szCs w:val="20"/>
        </w:rPr>
      </w:pPr>
      <w:r>
        <w:rPr>
          <w:rFonts w:ascii="Poppins" w:hAnsi="Poppins" w:cs="Poppins"/>
          <w:sz w:val="20"/>
          <w:szCs w:val="20"/>
        </w:rPr>
        <w:t xml:space="preserve">The </w:t>
      </w:r>
      <w:r w:rsidR="00BB6F1A">
        <w:rPr>
          <w:rFonts w:ascii="Poppins" w:hAnsi="Poppins" w:cs="Poppins"/>
          <w:sz w:val="20"/>
          <w:szCs w:val="20"/>
        </w:rPr>
        <w:t xml:space="preserve">Mornington Peninsula </w:t>
      </w:r>
      <w:r w:rsidR="001F23B3">
        <w:rPr>
          <w:rFonts w:ascii="Poppins" w:hAnsi="Poppins" w:cs="Poppins"/>
          <w:sz w:val="20"/>
          <w:szCs w:val="20"/>
        </w:rPr>
        <w:t xml:space="preserve">Shire is committed to building respectful relationships and working </w:t>
      </w:r>
      <w:r w:rsidR="00435868">
        <w:rPr>
          <w:rFonts w:ascii="Poppins" w:hAnsi="Poppins" w:cs="Poppins"/>
          <w:sz w:val="20"/>
          <w:szCs w:val="20"/>
        </w:rPr>
        <w:t>together</w:t>
      </w:r>
      <w:r w:rsidR="009F2745">
        <w:rPr>
          <w:rFonts w:ascii="Poppins" w:hAnsi="Poppins" w:cs="Poppins"/>
          <w:sz w:val="20"/>
          <w:szCs w:val="20"/>
        </w:rPr>
        <w:t xml:space="preserve"> with community to create a better future for all. The Shire </w:t>
      </w:r>
      <w:r w:rsidR="00627C45">
        <w:rPr>
          <w:rFonts w:ascii="Poppins" w:hAnsi="Poppins" w:cs="Poppins"/>
          <w:sz w:val="20"/>
          <w:szCs w:val="20"/>
        </w:rPr>
        <w:t>is comm</w:t>
      </w:r>
      <w:r w:rsidR="0006283D">
        <w:rPr>
          <w:rFonts w:ascii="Poppins" w:hAnsi="Poppins" w:cs="Poppins"/>
          <w:sz w:val="20"/>
          <w:szCs w:val="20"/>
        </w:rPr>
        <w:t xml:space="preserve">itted </w:t>
      </w:r>
      <w:r w:rsidR="00780810">
        <w:rPr>
          <w:rFonts w:ascii="Poppins" w:hAnsi="Poppins" w:cs="Poppins"/>
          <w:sz w:val="20"/>
          <w:szCs w:val="20"/>
        </w:rPr>
        <w:t xml:space="preserve">to </w:t>
      </w:r>
      <w:r w:rsidR="00CF1ED4">
        <w:rPr>
          <w:rFonts w:ascii="Poppins" w:hAnsi="Poppins" w:cs="Poppins"/>
          <w:sz w:val="20"/>
          <w:szCs w:val="20"/>
        </w:rPr>
        <w:t xml:space="preserve">the </w:t>
      </w:r>
      <w:r w:rsidR="00780810">
        <w:rPr>
          <w:rFonts w:ascii="Poppins" w:hAnsi="Poppins" w:cs="Poppins"/>
          <w:sz w:val="20"/>
          <w:szCs w:val="20"/>
        </w:rPr>
        <w:t>develop</w:t>
      </w:r>
      <w:r w:rsidR="00CF1ED4">
        <w:rPr>
          <w:rFonts w:ascii="Poppins" w:hAnsi="Poppins" w:cs="Poppins"/>
          <w:sz w:val="20"/>
          <w:szCs w:val="20"/>
        </w:rPr>
        <w:t>ment</w:t>
      </w:r>
      <w:r w:rsidR="00780810">
        <w:rPr>
          <w:rFonts w:ascii="Poppins" w:hAnsi="Poppins" w:cs="Poppins"/>
          <w:sz w:val="20"/>
          <w:szCs w:val="20"/>
        </w:rPr>
        <w:t xml:space="preserve"> and imple</w:t>
      </w:r>
      <w:r w:rsidR="005D3F40">
        <w:rPr>
          <w:rFonts w:ascii="Poppins" w:hAnsi="Poppins" w:cs="Poppins"/>
          <w:sz w:val="20"/>
          <w:szCs w:val="20"/>
        </w:rPr>
        <w:t>ment</w:t>
      </w:r>
      <w:r w:rsidR="00CF1ED4">
        <w:rPr>
          <w:rFonts w:ascii="Poppins" w:hAnsi="Poppins" w:cs="Poppins"/>
          <w:sz w:val="20"/>
          <w:szCs w:val="20"/>
        </w:rPr>
        <w:t>ation</w:t>
      </w:r>
      <w:r w:rsidR="00C958BC">
        <w:rPr>
          <w:rFonts w:ascii="Poppins" w:hAnsi="Poppins" w:cs="Poppins"/>
          <w:sz w:val="20"/>
          <w:szCs w:val="20"/>
        </w:rPr>
        <w:t xml:space="preserve"> of the </w:t>
      </w:r>
      <w:r>
        <w:rPr>
          <w:rFonts w:ascii="Poppins" w:hAnsi="Poppins" w:cs="Poppins"/>
          <w:sz w:val="20"/>
          <w:szCs w:val="20"/>
        </w:rPr>
        <w:t>Reconciliation Action</w:t>
      </w:r>
      <w:r w:rsidR="004925A6">
        <w:rPr>
          <w:rFonts w:ascii="Poppins" w:hAnsi="Poppins" w:cs="Poppins"/>
          <w:sz w:val="20"/>
          <w:szCs w:val="20"/>
        </w:rPr>
        <w:t xml:space="preserve"> Plan (RAP)</w:t>
      </w:r>
      <w:r w:rsidR="008C1377">
        <w:rPr>
          <w:rFonts w:ascii="Poppins" w:hAnsi="Poppins" w:cs="Poppins"/>
          <w:sz w:val="20"/>
          <w:szCs w:val="20"/>
        </w:rPr>
        <w:t xml:space="preserve"> with the aims of</w:t>
      </w:r>
      <w:r w:rsidR="002D33A9">
        <w:rPr>
          <w:rFonts w:ascii="Poppins" w:hAnsi="Poppins" w:cs="Poppins"/>
          <w:sz w:val="20"/>
          <w:szCs w:val="20"/>
        </w:rPr>
        <w:t>:</w:t>
      </w:r>
    </w:p>
    <w:p w14:paraId="2B03C7D0" w14:textId="77777777" w:rsidR="003141B3" w:rsidRDefault="003279C8" w:rsidP="002D33A9">
      <w:pPr>
        <w:pStyle w:val="ListParagraph"/>
        <w:numPr>
          <w:ilvl w:val="0"/>
          <w:numId w:val="18"/>
        </w:numPr>
        <w:rPr>
          <w:rFonts w:ascii="Poppins" w:hAnsi="Poppins" w:cs="Poppins"/>
          <w:sz w:val="20"/>
          <w:szCs w:val="20"/>
        </w:rPr>
      </w:pPr>
      <w:r>
        <w:rPr>
          <w:rFonts w:ascii="Poppins" w:hAnsi="Poppins" w:cs="Poppins"/>
          <w:sz w:val="20"/>
          <w:szCs w:val="20"/>
        </w:rPr>
        <w:t>Building relationships between Council</w:t>
      </w:r>
      <w:r w:rsidR="00F34A0E">
        <w:rPr>
          <w:rFonts w:ascii="Poppins" w:hAnsi="Poppins" w:cs="Poppins"/>
          <w:sz w:val="20"/>
          <w:szCs w:val="20"/>
        </w:rPr>
        <w:t>, the Aboriginal and Torres Strait Islander communities</w:t>
      </w:r>
      <w:r w:rsidR="00E42E00">
        <w:rPr>
          <w:rFonts w:ascii="Poppins" w:hAnsi="Poppins" w:cs="Poppins"/>
          <w:sz w:val="20"/>
          <w:szCs w:val="20"/>
        </w:rPr>
        <w:t>, businesses and the broader Mornington Peninsula community</w:t>
      </w:r>
    </w:p>
    <w:p w14:paraId="7C4DF5C2" w14:textId="188F593F" w:rsidR="00F93997" w:rsidRDefault="003141B3" w:rsidP="002D33A9">
      <w:pPr>
        <w:pStyle w:val="ListParagraph"/>
        <w:numPr>
          <w:ilvl w:val="0"/>
          <w:numId w:val="18"/>
        </w:numPr>
        <w:rPr>
          <w:rFonts w:ascii="Poppins" w:hAnsi="Poppins" w:cs="Poppins"/>
          <w:sz w:val="20"/>
          <w:szCs w:val="20"/>
        </w:rPr>
      </w:pPr>
      <w:r>
        <w:rPr>
          <w:rFonts w:ascii="Poppins" w:hAnsi="Poppins" w:cs="Poppins"/>
          <w:sz w:val="20"/>
          <w:szCs w:val="20"/>
        </w:rPr>
        <w:t xml:space="preserve">Celebrating and acknowledging the </w:t>
      </w:r>
      <w:r w:rsidR="00F93997">
        <w:rPr>
          <w:rFonts w:ascii="Poppins" w:hAnsi="Poppins" w:cs="Poppins"/>
          <w:sz w:val="20"/>
          <w:szCs w:val="20"/>
        </w:rPr>
        <w:t>unique</w:t>
      </w:r>
      <w:r>
        <w:rPr>
          <w:rFonts w:ascii="Poppins" w:hAnsi="Poppins" w:cs="Poppins"/>
          <w:sz w:val="20"/>
          <w:szCs w:val="20"/>
        </w:rPr>
        <w:t xml:space="preserve"> Aboriginal and Torres Strait Islander heritage o</w:t>
      </w:r>
      <w:r w:rsidR="008A2A55">
        <w:rPr>
          <w:rFonts w:ascii="Poppins" w:hAnsi="Poppins" w:cs="Poppins"/>
          <w:sz w:val="20"/>
          <w:szCs w:val="20"/>
        </w:rPr>
        <w:t>n the Mornington Peninsula</w:t>
      </w:r>
      <w:r w:rsidR="0084175D">
        <w:rPr>
          <w:rFonts w:ascii="Poppins" w:hAnsi="Poppins" w:cs="Poppins"/>
          <w:sz w:val="20"/>
          <w:szCs w:val="20"/>
        </w:rPr>
        <w:t>; and</w:t>
      </w:r>
    </w:p>
    <w:p w14:paraId="1C395890" w14:textId="77777777" w:rsidR="00687203" w:rsidRDefault="00F93997" w:rsidP="002D33A9">
      <w:pPr>
        <w:pStyle w:val="ListParagraph"/>
        <w:numPr>
          <w:ilvl w:val="0"/>
          <w:numId w:val="18"/>
        </w:numPr>
        <w:rPr>
          <w:rFonts w:ascii="Poppins" w:hAnsi="Poppins" w:cs="Poppins"/>
          <w:sz w:val="20"/>
          <w:szCs w:val="20"/>
        </w:rPr>
      </w:pPr>
      <w:r>
        <w:rPr>
          <w:rFonts w:ascii="Poppins" w:hAnsi="Poppins" w:cs="Poppins"/>
          <w:sz w:val="20"/>
          <w:szCs w:val="20"/>
        </w:rPr>
        <w:t xml:space="preserve">Improving Council services for Aboriginal and Torres Strait Islander people. </w:t>
      </w:r>
    </w:p>
    <w:p w14:paraId="12A9FD4F" w14:textId="021D5F25" w:rsidR="00A5710E" w:rsidRPr="00687203" w:rsidRDefault="00687203" w:rsidP="00687203">
      <w:pPr>
        <w:rPr>
          <w:rFonts w:ascii="Poppins" w:hAnsi="Poppins" w:cs="Poppins"/>
          <w:sz w:val="20"/>
          <w:szCs w:val="20"/>
        </w:rPr>
      </w:pPr>
      <w:r>
        <w:rPr>
          <w:rFonts w:ascii="Poppins" w:hAnsi="Poppins" w:cs="Poppins"/>
          <w:sz w:val="20"/>
          <w:szCs w:val="20"/>
        </w:rPr>
        <w:t xml:space="preserve">The Shire believes that taking </w:t>
      </w:r>
      <w:r w:rsidR="00821E9B">
        <w:rPr>
          <w:rFonts w:ascii="Poppins" w:hAnsi="Poppins" w:cs="Poppins"/>
          <w:sz w:val="20"/>
          <w:szCs w:val="20"/>
        </w:rPr>
        <w:t xml:space="preserve">tangible steps to progress reconciliation will support strong social, economic and cultural prosperity for local Aboriginal and Torres </w:t>
      </w:r>
      <w:r w:rsidR="00E67C30">
        <w:rPr>
          <w:rFonts w:ascii="Poppins" w:hAnsi="Poppins" w:cs="Poppins"/>
          <w:sz w:val="20"/>
          <w:szCs w:val="20"/>
        </w:rPr>
        <w:t>Strait Islander communities</w:t>
      </w:r>
      <w:r w:rsidR="00371A70">
        <w:rPr>
          <w:rFonts w:ascii="Poppins" w:hAnsi="Poppins" w:cs="Poppins"/>
          <w:sz w:val="20"/>
          <w:szCs w:val="20"/>
        </w:rPr>
        <w:t>.</w:t>
      </w:r>
      <w:r w:rsidR="00B04FB8" w:rsidRPr="00687203">
        <w:rPr>
          <w:rFonts w:ascii="Poppins" w:hAnsi="Poppins" w:cs="Poppins"/>
          <w:sz w:val="20"/>
          <w:szCs w:val="20"/>
        </w:rPr>
        <w:t xml:space="preserve"> </w:t>
      </w:r>
    </w:p>
    <w:p w14:paraId="004D4773" w14:textId="77777777" w:rsidR="00A5710E" w:rsidRDefault="00A5710E" w:rsidP="003D1943">
      <w:pPr>
        <w:rPr>
          <w:rFonts w:ascii="Poppins" w:hAnsi="Poppins" w:cs="Poppins"/>
          <w:sz w:val="20"/>
          <w:szCs w:val="20"/>
        </w:rPr>
      </w:pPr>
    </w:p>
    <w:p w14:paraId="4DA98F1F" w14:textId="4CAE15CC" w:rsidR="003D1943" w:rsidRPr="00541B21" w:rsidRDefault="00D45744" w:rsidP="003D1943">
      <w:pPr>
        <w:rPr>
          <w:rFonts w:ascii="Poppins" w:hAnsi="Poppins" w:cs="Poppins"/>
          <w:sz w:val="20"/>
          <w:szCs w:val="20"/>
        </w:rPr>
      </w:pPr>
      <w:r>
        <w:rPr>
          <w:rFonts w:ascii="Poppins" w:hAnsi="Poppins" w:cs="Poppins"/>
          <w:sz w:val="20"/>
          <w:szCs w:val="20"/>
        </w:rPr>
        <w:t xml:space="preserve">All </w:t>
      </w:r>
      <w:r w:rsidR="0087057F">
        <w:rPr>
          <w:rFonts w:ascii="Poppins" w:hAnsi="Poppins" w:cs="Poppins"/>
          <w:sz w:val="20"/>
          <w:szCs w:val="20"/>
        </w:rPr>
        <w:t xml:space="preserve">13 </w:t>
      </w:r>
      <w:r w:rsidR="00AF21E4">
        <w:rPr>
          <w:rFonts w:ascii="Poppins" w:hAnsi="Poppins" w:cs="Poppins"/>
          <w:sz w:val="20"/>
          <w:szCs w:val="20"/>
        </w:rPr>
        <w:t>mandatory</w:t>
      </w:r>
      <w:r w:rsidR="0087057F">
        <w:rPr>
          <w:rFonts w:ascii="Poppins" w:hAnsi="Poppins" w:cs="Poppins"/>
          <w:sz w:val="20"/>
          <w:szCs w:val="20"/>
        </w:rPr>
        <w:t xml:space="preserve"> actions set </w:t>
      </w:r>
      <w:r w:rsidR="007820D3">
        <w:rPr>
          <w:rFonts w:ascii="Poppins" w:hAnsi="Poppins" w:cs="Poppins"/>
          <w:sz w:val="20"/>
          <w:szCs w:val="20"/>
        </w:rPr>
        <w:t xml:space="preserve">out by Reconciliation Australia </w:t>
      </w:r>
      <w:r w:rsidR="00F43D0B">
        <w:rPr>
          <w:rFonts w:ascii="Poppins" w:hAnsi="Poppins" w:cs="Poppins"/>
          <w:sz w:val="20"/>
          <w:szCs w:val="20"/>
        </w:rPr>
        <w:t xml:space="preserve">directly </w:t>
      </w:r>
      <w:r w:rsidR="00105EB2">
        <w:rPr>
          <w:rFonts w:ascii="Poppins" w:hAnsi="Poppins" w:cs="Poppins"/>
          <w:sz w:val="20"/>
          <w:szCs w:val="20"/>
        </w:rPr>
        <w:t xml:space="preserve">align </w:t>
      </w:r>
      <w:r w:rsidR="004E2496">
        <w:rPr>
          <w:rFonts w:ascii="Poppins" w:hAnsi="Poppins" w:cs="Poppins"/>
          <w:sz w:val="20"/>
          <w:szCs w:val="20"/>
        </w:rPr>
        <w:t>with</w:t>
      </w:r>
      <w:r w:rsidR="003D1943" w:rsidRPr="00541B21">
        <w:rPr>
          <w:rFonts w:ascii="Poppins" w:hAnsi="Poppins" w:cs="Poppins"/>
          <w:sz w:val="20"/>
          <w:szCs w:val="20"/>
        </w:rPr>
        <w:t xml:space="preserve"> </w:t>
      </w:r>
      <w:r w:rsidR="008265EC">
        <w:rPr>
          <w:rFonts w:ascii="Poppins" w:hAnsi="Poppins" w:cs="Poppins"/>
          <w:sz w:val="20"/>
          <w:szCs w:val="20"/>
        </w:rPr>
        <w:t>four</w:t>
      </w:r>
      <w:r w:rsidR="003D1943" w:rsidRPr="00541B21">
        <w:rPr>
          <w:rFonts w:ascii="Poppins" w:hAnsi="Poppins" w:cs="Poppins"/>
          <w:sz w:val="20"/>
          <w:szCs w:val="20"/>
        </w:rPr>
        <w:t xml:space="preserve"> </w:t>
      </w:r>
      <w:r w:rsidR="008265EC">
        <w:rPr>
          <w:rFonts w:ascii="Poppins" w:hAnsi="Poppins" w:cs="Poppins"/>
          <w:sz w:val="20"/>
          <w:szCs w:val="20"/>
        </w:rPr>
        <w:t>pillars</w:t>
      </w:r>
      <w:r w:rsidR="003D1943" w:rsidRPr="00541B21">
        <w:rPr>
          <w:rFonts w:ascii="Poppins" w:hAnsi="Poppins" w:cs="Poppins"/>
          <w:sz w:val="20"/>
          <w:szCs w:val="20"/>
        </w:rPr>
        <w:t>:</w:t>
      </w:r>
    </w:p>
    <w:p w14:paraId="7CE465CF" w14:textId="4144668B" w:rsidR="003D1943" w:rsidRPr="00541B21" w:rsidRDefault="002A628F">
      <w:pPr>
        <w:numPr>
          <w:ilvl w:val="0"/>
          <w:numId w:val="17"/>
        </w:numPr>
        <w:rPr>
          <w:rFonts w:ascii="Poppins" w:hAnsi="Poppins" w:cs="Poppins"/>
          <w:sz w:val="20"/>
          <w:szCs w:val="20"/>
        </w:rPr>
      </w:pPr>
      <w:r>
        <w:rPr>
          <w:rFonts w:ascii="Poppins" w:hAnsi="Poppins" w:cs="Poppins"/>
          <w:b/>
          <w:bCs/>
          <w:sz w:val="20"/>
          <w:szCs w:val="20"/>
        </w:rPr>
        <w:t>Relationships</w:t>
      </w:r>
    </w:p>
    <w:p w14:paraId="6122B653" w14:textId="6975C4EC" w:rsidR="003D1943" w:rsidRPr="00541B21" w:rsidRDefault="002A628F">
      <w:pPr>
        <w:numPr>
          <w:ilvl w:val="0"/>
          <w:numId w:val="17"/>
        </w:numPr>
        <w:rPr>
          <w:rFonts w:ascii="Poppins" w:hAnsi="Poppins" w:cs="Poppins"/>
          <w:sz w:val="20"/>
          <w:szCs w:val="20"/>
        </w:rPr>
      </w:pPr>
      <w:r>
        <w:rPr>
          <w:rFonts w:ascii="Poppins" w:hAnsi="Poppins" w:cs="Poppins"/>
          <w:b/>
          <w:bCs/>
          <w:sz w:val="20"/>
          <w:szCs w:val="20"/>
        </w:rPr>
        <w:t>Respect</w:t>
      </w:r>
    </w:p>
    <w:p w14:paraId="0BB97F5F" w14:textId="42CA3A04" w:rsidR="003D1943" w:rsidRPr="00541B21" w:rsidRDefault="002A628F">
      <w:pPr>
        <w:numPr>
          <w:ilvl w:val="0"/>
          <w:numId w:val="17"/>
        </w:numPr>
        <w:rPr>
          <w:rFonts w:ascii="Poppins" w:hAnsi="Poppins" w:cs="Poppins"/>
          <w:sz w:val="20"/>
          <w:szCs w:val="20"/>
        </w:rPr>
      </w:pPr>
      <w:r>
        <w:rPr>
          <w:rFonts w:ascii="Poppins" w:hAnsi="Poppins" w:cs="Poppins"/>
          <w:b/>
          <w:bCs/>
          <w:sz w:val="20"/>
          <w:szCs w:val="20"/>
        </w:rPr>
        <w:t xml:space="preserve">Opportunities </w:t>
      </w:r>
    </w:p>
    <w:p w14:paraId="165F06A6" w14:textId="41CF9DAF" w:rsidR="003D558E" w:rsidRPr="000B5D36" w:rsidRDefault="001A5BEE">
      <w:pPr>
        <w:numPr>
          <w:ilvl w:val="0"/>
          <w:numId w:val="17"/>
        </w:numPr>
        <w:rPr>
          <w:rFonts w:ascii="Poppins" w:hAnsi="Poppins" w:cs="Poppins"/>
          <w:sz w:val="20"/>
          <w:szCs w:val="20"/>
        </w:rPr>
      </w:pPr>
      <w:r w:rsidRPr="000B5D36">
        <w:rPr>
          <w:rFonts w:ascii="Poppins" w:hAnsi="Poppins" w:cs="Poppins"/>
          <w:b/>
          <w:bCs/>
          <w:sz w:val="20"/>
          <w:szCs w:val="20"/>
        </w:rPr>
        <w:t>Gover</w:t>
      </w:r>
      <w:r w:rsidR="0097101B" w:rsidRPr="000B5D36">
        <w:rPr>
          <w:rFonts w:ascii="Poppins" w:hAnsi="Poppins" w:cs="Poppins"/>
          <w:b/>
          <w:bCs/>
          <w:sz w:val="20"/>
          <w:szCs w:val="20"/>
        </w:rPr>
        <w:t>nance</w:t>
      </w:r>
    </w:p>
    <w:p w14:paraId="4F5F2BAC" w14:textId="77777777" w:rsidR="00C202B0" w:rsidRPr="00541B21" w:rsidRDefault="00C202B0" w:rsidP="00C202B0">
      <w:pPr>
        <w:rPr>
          <w:rFonts w:ascii="Poppins" w:hAnsi="Poppins" w:cs="Poppins"/>
          <w:sz w:val="20"/>
          <w:szCs w:val="20"/>
        </w:rPr>
      </w:pPr>
    </w:p>
    <w:p w14:paraId="797650BA" w14:textId="150AE081" w:rsidR="00D824CE" w:rsidRDefault="00D824CE" w:rsidP="00362F60">
      <w:pPr>
        <w:rPr>
          <w:rFonts w:ascii="Poppins" w:hAnsi="Poppins" w:cs="Poppins"/>
          <w:sz w:val="20"/>
          <w:szCs w:val="20"/>
        </w:rPr>
      </w:pPr>
      <w:r w:rsidRPr="00D824CE">
        <w:rPr>
          <w:rFonts w:ascii="Poppins" w:hAnsi="Poppins" w:cs="Poppins"/>
          <w:sz w:val="20"/>
          <w:szCs w:val="20"/>
        </w:rPr>
        <w:t> Actions that were established and are led by the Shire </w:t>
      </w:r>
      <w:r w:rsidR="00C30E9D">
        <w:rPr>
          <w:rFonts w:ascii="Poppins" w:hAnsi="Poppins" w:cs="Poppins"/>
          <w:sz w:val="20"/>
          <w:szCs w:val="20"/>
        </w:rPr>
        <w:t>are marked with an *.</w:t>
      </w:r>
    </w:p>
    <w:p w14:paraId="723985A0" w14:textId="77777777" w:rsidR="00D824CE" w:rsidRDefault="00D824CE" w:rsidP="00362F60">
      <w:pPr>
        <w:rPr>
          <w:rFonts w:ascii="Poppins" w:hAnsi="Poppins" w:cs="Poppins"/>
          <w:sz w:val="20"/>
          <w:szCs w:val="20"/>
        </w:rPr>
      </w:pPr>
    </w:p>
    <w:p w14:paraId="6538062A" w14:textId="6777C967" w:rsidR="00C01DEC" w:rsidRPr="00541B21" w:rsidRDefault="00241363" w:rsidP="00362F60">
      <w:pPr>
        <w:rPr>
          <w:rFonts w:ascii="Poppins" w:hAnsi="Poppins" w:cs="Poppins"/>
          <w:sz w:val="20"/>
          <w:szCs w:val="20"/>
        </w:rPr>
      </w:pPr>
      <w:r>
        <w:rPr>
          <w:rFonts w:ascii="Poppins" w:hAnsi="Poppins" w:cs="Poppins"/>
          <w:sz w:val="20"/>
          <w:szCs w:val="20"/>
        </w:rPr>
        <w:t xml:space="preserve">This report utilises the below colours to highlight each </w:t>
      </w:r>
      <w:r w:rsidR="003E7615">
        <w:rPr>
          <w:rFonts w:ascii="Poppins" w:hAnsi="Poppins" w:cs="Poppins"/>
          <w:sz w:val="20"/>
          <w:szCs w:val="20"/>
        </w:rPr>
        <w:t>deliverables progress.</w:t>
      </w:r>
    </w:p>
    <w:tbl>
      <w:tblPr>
        <w:tblStyle w:val="TablePlaceholder"/>
        <w:tblW w:w="0" w:type="auto"/>
        <w:tblLook w:val="04A0" w:firstRow="1" w:lastRow="0" w:firstColumn="1" w:lastColumn="0" w:noHBand="0" w:noVBand="1"/>
      </w:tblPr>
      <w:tblGrid>
        <w:gridCol w:w="9639"/>
      </w:tblGrid>
      <w:tr w:rsidR="002C5886" w:rsidRPr="00541B21" w14:paraId="537D69A5" w14:textId="77777777" w:rsidTr="6ED01115">
        <w:tc>
          <w:tcPr>
            <w:tcW w:w="14571" w:type="dxa"/>
            <w:shd w:val="clear" w:color="auto" w:fill="D6EBC4" w:themeFill="accent1" w:themeFillTint="66"/>
          </w:tcPr>
          <w:p w14:paraId="2D004723" w14:textId="2AD29856" w:rsidR="6ED01115" w:rsidRPr="6ED01115" w:rsidRDefault="6ED01115" w:rsidP="6ED01115">
            <w:pPr>
              <w:ind w:left="1440"/>
              <w:rPr>
                <w:rFonts w:ascii="Poppins" w:eastAsia="Poppins" w:hAnsi="Poppins" w:cs="Poppins"/>
                <w:color w:val="000000" w:themeColor="text1"/>
                <w:sz w:val="20"/>
                <w:szCs w:val="20"/>
              </w:rPr>
            </w:pPr>
            <w:r w:rsidRPr="6ED01115">
              <w:rPr>
                <w:rFonts w:ascii="Poppins" w:eastAsia="Poppins" w:hAnsi="Poppins" w:cs="Poppins"/>
                <w:color w:val="000000" w:themeColor="text1"/>
                <w:sz w:val="20"/>
                <w:szCs w:val="20"/>
              </w:rPr>
              <w:t>Complete/On track/Ongoing</w:t>
            </w:r>
          </w:p>
        </w:tc>
      </w:tr>
      <w:tr w:rsidR="002C5886" w:rsidRPr="00541B21" w14:paraId="06F01EB6" w14:textId="77777777" w:rsidTr="6ED01115">
        <w:tc>
          <w:tcPr>
            <w:tcW w:w="14571" w:type="dxa"/>
            <w:shd w:val="clear" w:color="auto" w:fill="FFE8BC" w:themeFill="accent3" w:themeFillTint="66"/>
          </w:tcPr>
          <w:p w14:paraId="25CFC4F0" w14:textId="594A79EF" w:rsidR="6ED01115" w:rsidRPr="6ED01115" w:rsidRDefault="6ED01115" w:rsidP="6ED01115">
            <w:pPr>
              <w:ind w:left="1440"/>
              <w:rPr>
                <w:rFonts w:ascii="Poppins" w:eastAsia="Poppins" w:hAnsi="Poppins" w:cs="Poppins"/>
                <w:color w:val="000000" w:themeColor="text1"/>
                <w:sz w:val="20"/>
                <w:szCs w:val="20"/>
              </w:rPr>
            </w:pPr>
            <w:r w:rsidRPr="6ED01115">
              <w:rPr>
                <w:rFonts w:ascii="Poppins" w:eastAsia="Poppins" w:hAnsi="Poppins" w:cs="Poppins"/>
                <w:color w:val="000000" w:themeColor="text1"/>
                <w:sz w:val="20"/>
                <w:szCs w:val="20"/>
              </w:rPr>
              <w:t xml:space="preserve">Monitor/Deferred </w:t>
            </w:r>
          </w:p>
        </w:tc>
      </w:tr>
      <w:tr w:rsidR="002C5886" w:rsidRPr="00541B21" w14:paraId="022FDD30" w14:textId="77777777" w:rsidTr="6ED01115">
        <w:tc>
          <w:tcPr>
            <w:tcW w:w="14571" w:type="dxa"/>
            <w:shd w:val="clear" w:color="auto" w:fill="FF8075" w:themeFill="accent2" w:themeFillShade="E6"/>
          </w:tcPr>
          <w:p w14:paraId="68CD6C39" w14:textId="58281147" w:rsidR="6ED01115" w:rsidRPr="6ED01115" w:rsidRDefault="6ED01115" w:rsidP="6ED01115">
            <w:pPr>
              <w:ind w:left="1440"/>
              <w:rPr>
                <w:rFonts w:ascii="Poppins" w:eastAsia="Poppins" w:hAnsi="Poppins" w:cs="Poppins"/>
                <w:color w:val="000000" w:themeColor="text1"/>
                <w:sz w:val="20"/>
                <w:szCs w:val="20"/>
              </w:rPr>
            </w:pPr>
            <w:r w:rsidRPr="6ED01115">
              <w:rPr>
                <w:rFonts w:ascii="Poppins" w:eastAsia="Poppins" w:hAnsi="Poppins" w:cs="Poppins"/>
                <w:color w:val="000000" w:themeColor="text1"/>
                <w:sz w:val="20"/>
                <w:szCs w:val="20"/>
              </w:rPr>
              <w:t>Off track</w:t>
            </w:r>
          </w:p>
        </w:tc>
      </w:tr>
    </w:tbl>
    <w:p w14:paraId="0DDE68D5" w14:textId="77777777" w:rsidR="005F31B1" w:rsidRDefault="005F31B1" w:rsidP="00C722B8"/>
    <w:p w14:paraId="1A16EC81" w14:textId="77777777" w:rsidR="00100761" w:rsidRDefault="00100761" w:rsidP="00C722B8"/>
    <w:p w14:paraId="36A8E6EE" w14:textId="77777777" w:rsidR="00100761" w:rsidRDefault="00100761" w:rsidP="00C722B8"/>
    <w:p w14:paraId="14E9ECDE" w14:textId="77777777" w:rsidR="00100761" w:rsidRDefault="00100761" w:rsidP="00C722B8"/>
    <w:p w14:paraId="694041E8" w14:textId="77777777" w:rsidR="00100761" w:rsidRDefault="00100761" w:rsidP="00C722B8"/>
    <w:p w14:paraId="6E32FE29" w14:textId="77777777" w:rsidR="00100761" w:rsidRDefault="00100761" w:rsidP="00C722B8"/>
    <w:p w14:paraId="5C0D3B51" w14:textId="77777777" w:rsidR="00100761" w:rsidRDefault="00100761" w:rsidP="00C722B8"/>
    <w:p w14:paraId="4DA3A379" w14:textId="77777777" w:rsidR="00100761" w:rsidRDefault="00100761" w:rsidP="00C722B8"/>
    <w:p w14:paraId="7C474E5B" w14:textId="77777777" w:rsidR="00100761" w:rsidRDefault="00100761" w:rsidP="00C722B8"/>
    <w:p w14:paraId="1B1AC50F" w14:textId="77777777" w:rsidR="00100761" w:rsidRDefault="00100761" w:rsidP="00C722B8"/>
    <w:p w14:paraId="73EA7D66" w14:textId="75BA03D0" w:rsidR="00DD5EEF" w:rsidRPr="00083878" w:rsidRDefault="00F848A8" w:rsidP="00BD1D92">
      <w:pPr>
        <w:pStyle w:val="Heading1"/>
        <w:rPr>
          <w:rFonts w:asciiTheme="majorHAnsi" w:hAnsiTheme="majorHAnsi" w:cstheme="majorHAnsi"/>
        </w:rPr>
      </w:pPr>
      <w:bookmarkStart w:id="1" w:name="_Toc237424294"/>
      <w:r w:rsidRPr="00083878">
        <w:rPr>
          <w:rFonts w:asciiTheme="majorHAnsi" w:hAnsiTheme="majorHAnsi" w:cstheme="majorHAnsi"/>
        </w:rPr>
        <w:lastRenderedPageBreak/>
        <w:t xml:space="preserve">Key </w:t>
      </w:r>
      <w:r w:rsidR="009E7836" w:rsidRPr="00083878">
        <w:rPr>
          <w:rFonts w:asciiTheme="majorHAnsi" w:hAnsiTheme="majorHAnsi" w:cstheme="majorHAnsi"/>
        </w:rPr>
        <w:t>a</w:t>
      </w:r>
      <w:r w:rsidRPr="00083878">
        <w:rPr>
          <w:rFonts w:asciiTheme="majorHAnsi" w:hAnsiTheme="majorHAnsi" w:cstheme="majorHAnsi"/>
        </w:rPr>
        <w:t>chievements</w:t>
      </w:r>
      <w:r w:rsidR="009E7836" w:rsidRPr="00083878">
        <w:rPr>
          <w:rFonts w:asciiTheme="majorHAnsi" w:hAnsiTheme="majorHAnsi" w:cstheme="majorHAnsi"/>
        </w:rPr>
        <w:t xml:space="preserve"> by goal</w:t>
      </w:r>
      <w:bookmarkEnd w:id="1"/>
    </w:p>
    <w:p w14:paraId="35AC4EA5" w14:textId="77777777" w:rsidR="00553A18" w:rsidRPr="00553A18" w:rsidRDefault="00553A18" w:rsidP="00553A18">
      <w:pPr>
        <w:pStyle w:val="BodyText"/>
      </w:pPr>
    </w:p>
    <w:p w14:paraId="0421DF09" w14:textId="687496EB" w:rsidR="009E7836" w:rsidRPr="00464E95" w:rsidRDefault="001F6E33" w:rsidP="009E7836">
      <w:pPr>
        <w:rPr>
          <w:b/>
          <w:bCs/>
        </w:rPr>
      </w:pPr>
      <w:r>
        <w:rPr>
          <w:b/>
          <w:bCs/>
        </w:rPr>
        <w:t>Relationships</w:t>
      </w:r>
    </w:p>
    <w:p w14:paraId="3F708994" w14:textId="77777777" w:rsidR="00806B44" w:rsidRDefault="00806B44" w:rsidP="00806B44">
      <w:pPr>
        <w:numPr>
          <w:ilvl w:val="0"/>
          <w:numId w:val="12"/>
        </w:numPr>
        <w:spacing w:before="0" w:after="0" w:line="240" w:lineRule="auto"/>
        <w:contextualSpacing/>
        <w:rPr>
          <w:rFonts w:ascii="Poppins" w:hAnsi="Poppins" w:cs="Poppins"/>
          <w:color w:val="000000"/>
          <w:sz w:val="20"/>
          <w:szCs w:val="20"/>
        </w:rPr>
      </w:pPr>
      <w:r>
        <w:rPr>
          <w:rFonts w:ascii="Poppins" w:hAnsi="Poppins" w:cs="Poppins"/>
          <w:color w:val="000000"/>
          <w:sz w:val="20"/>
          <w:szCs w:val="20"/>
        </w:rPr>
        <w:t>Community Event Grant of $15,000 provided for Reconciliation Families &amp; Allies Day 2026 to Willum Warrain.</w:t>
      </w:r>
    </w:p>
    <w:p w14:paraId="5B5AC4F6" w14:textId="77777777" w:rsidR="00806B44" w:rsidRDefault="00806B44" w:rsidP="00806B44">
      <w:pPr>
        <w:numPr>
          <w:ilvl w:val="0"/>
          <w:numId w:val="12"/>
        </w:numPr>
        <w:spacing w:before="0" w:after="0" w:line="240" w:lineRule="auto"/>
        <w:contextualSpacing/>
        <w:rPr>
          <w:rFonts w:ascii="Poppins" w:hAnsi="Poppins" w:cs="Poppins"/>
          <w:color w:val="000000"/>
          <w:sz w:val="20"/>
          <w:szCs w:val="20"/>
        </w:rPr>
      </w:pPr>
      <w:r w:rsidRPr="21CCD470">
        <w:rPr>
          <w:rFonts w:ascii="Poppins" w:hAnsi="Poppins" w:cs="Poppins"/>
          <w:color w:val="000000" w:themeColor="text1"/>
          <w:sz w:val="20"/>
          <w:szCs w:val="20"/>
        </w:rPr>
        <w:t xml:space="preserve">Strengthened partnership with the Bunurong Land Council through: </w:t>
      </w:r>
    </w:p>
    <w:p w14:paraId="1946A3B1" w14:textId="04E9F47C" w:rsidR="00806B44" w:rsidRDefault="66D4F8B0" w:rsidP="676337C4">
      <w:pPr>
        <w:numPr>
          <w:ilvl w:val="0"/>
          <w:numId w:val="1"/>
        </w:numPr>
        <w:spacing w:before="0" w:after="0" w:line="240" w:lineRule="auto"/>
        <w:ind w:left="1440"/>
        <w:rPr>
          <w:rFonts w:ascii="Poppins" w:hAnsi="Poppins" w:cs="Poppins"/>
          <w:color w:val="000000" w:themeColor="text1"/>
          <w:sz w:val="20"/>
          <w:szCs w:val="20"/>
        </w:rPr>
      </w:pPr>
      <w:r w:rsidRPr="676337C4">
        <w:rPr>
          <w:rFonts w:ascii="Poppins" w:hAnsi="Poppins" w:cs="Poppins"/>
          <w:color w:val="000000" w:themeColor="text1"/>
          <w:sz w:val="20"/>
          <w:szCs w:val="20"/>
        </w:rPr>
        <w:t>$30,000 annual biodiversity funding from the state government Peri-urban Weed Management Partnerships program for Bunurong Land Council Strong Country Team to undertake biodiversity and cultural related conservation activities on shire managed land.</w:t>
      </w:r>
    </w:p>
    <w:p w14:paraId="44F2F7AD" w14:textId="1E1988A2" w:rsidR="00806B44" w:rsidRDefault="66D4F8B0" w:rsidP="676337C4">
      <w:pPr>
        <w:numPr>
          <w:ilvl w:val="0"/>
          <w:numId w:val="2"/>
        </w:numPr>
        <w:spacing w:before="0" w:after="0" w:line="240" w:lineRule="auto"/>
        <w:ind w:left="1440"/>
        <w:rPr>
          <w:rFonts w:ascii="Poppins" w:hAnsi="Poppins" w:cs="Poppins"/>
          <w:color w:val="000000" w:themeColor="text1"/>
          <w:sz w:val="20"/>
          <w:szCs w:val="20"/>
        </w:rPr>
      </w:pPr>
      <w:r w:rsidRPr="676337C4">
        <w:rPr>
          <w:rFonts w:ascii="Poppins" w:hAnsi="Poppins" w:cs="Poppins"/>
          <w:color w:val="000000" w:themeColor="text1"/>
          <w:sz w:val="20"/>
          <w:szCs w:val="20"/>
        </w:rPr>
        <w:t xml:space="preserve"> $25,000 investment in cultural land management projects through engaging Bunurong Land Council Strong County Team to deliver biodiversity and cultural related conservation work in areas of cultural significance on shire managed land.</w:t>
      </w:r>
    </w:p>
    <w:p w14:paraId="26255DF2" w14:textId="692120C7" w:rsidR="00806B44" w:rsidRDefault="00806B44" w:rsidP="676337C4">
      <w:pPr>
        <w:numPr>
          <w:ilvl w:val="1"/>
          <w:numId w:val="12"/>
        </w:numPr>
        <w:spacing w:before="0" w:after="0" w:line="240" w:lineRule="auto"/>
        <w:contextualSpacing/>
        <w:rPr>
          <w:rFonts w:ascii="Poppins" w:hAnsi="Poppins" w:cs="Poppins"/>
          <w:color w:val="000000"/>
          <w:sz w:val="20"/>
          <w:szCs w:val="20"/>
        </w:rPr>
      </w:pPr>
      <w:r w:rsidRPr="676337C4">
        <w:rPr>
          <w:rFonts w:ascii="Poppins" w:hAnsi="Poppins" w:cs="Poppins"/>
          <w:color w:val="000000" w:themeColor="text1"/>
          <w:sz w:val="20"/>
          <w:szCs w:val="20"/>
        </w:rPr>
        <w:t>Support for archaeological field school activities at Cape Schanck</w:t>
      </w:r>
    </w:p>
    <w:p w14:paraId="06D834B0" w14:textId="4AFEFCB3" w:rsidR="00806B44" w:rsidRPr="00BD451F" w:rsidRDefault="00806B44" w:rsidP="00806B44">
      <w:pPr>
        <w:numPr>
          <w:ilvl w:val="0"/>
          <w:numId w:val="12"/>
        </w:numPr>
        <w:spacing w:before="0" w:after="160" w:line="278" w:lineRule="auto"/>
      </w:pPr>
      <w:r>
        <w:rPr>
          <w:rFonts w:ascii="Poppins" w:hAnsi="Poppins" w:cs="Poppins"/>
          <w:color w:val="000000"/>
          <w:sz w:val="20"/>
          <w:szCs w:val="20"/>
        </w:rPr>
        <w:t>The creation of a flyer for Mornington Peninsula Shire tourism hubs that speaks to the culturally significant locations on the Peninsula.</w:t>
      </w:r>
    </w:p>
    <w:p w14:paraId="58907E49" w14:textId="368A3F37" w:rsidR="00553A18" w:rsidRDefault="00806B44" w:rsidP="00806B44">
      <w:pPr>
        <w:rPr>
          <w:b/>
          <w:bCs/>
        </w:rPr>
      </w:pPr>
      <w:r w:rsidRPr="00806B44">
        <w:rPr>
          <w:b/>
          <w:bCs/>
        </w:rPr>
        <w:t>Respect</w:t>
      </w:r>
      <w:r w:rsidR="009E7836" w:rsidRPr="00806B44">
        <w:rPr>
          <w:b/>
          <w:bCs/>
        </w:rPr>
        <w:t xml:space="preserve"> </w:t>
      </w:r>
    </w:p>
    <w:p w14:paraId="54CAE003" w14:textId="77777777" w:rsidR="007E278D" w:rsidRPr="007E278D" w:rsidRDefault="007E278D" w:rsidP="00C73B85">
      <w:pPr>
        <w:numPr>
          <w:ilvl w:val="0"/>
          <w:numId w:val="12"/>
        </w:numPr>
        <w:spacing w:before="0" w:after="0" w:line="240" w:lineRule="auto"/>
        <w:contextualSpacing/>
        <w:rPr>
          <w:rFonts w:ascii="Poppins" w:hAnsi="Poppins" w:cs="Poppins"/>
          <w:color w:val="000000"/>
          <w:sz w:val="20"/>
          <w:szCs w:val="20"/>
        </w:rPr>
      </w:pPr>
      <w:r w:rsidRPr="007E278D">
        <w:rPr>
          <w:rFonts w:ascii="Poppins" w:hAnsi="Poppins" w:cs="Poppins"/>
          <w:color w:val="000000"/>
          <w:sz w:val="20"/>
          <w:szCs w:val="20"/>
        </w:rPr>
        <w:t xml:space="preserve">The Briars' </w:t>
      </w:r>
      <w:proofErr w:type="spellStart"/>
      <w:r w:rsidRPr="007E278D">
        <w:rPr>
          <w:rFonts w:ascii="Poppins" w:hAnsi="Poppins" w:cs="Poppins"/>
          <w:color w:val="000000"/>
          <w:sz w:val="20"/>
          <w:szCs w:val="20"/>
        </w:rPr>
        <w:t>Ngawak</w:t>
      </w:r>
      <w:proofErr w:type="spellEnd"/>
      <w:r w:rsidRPr="007E278D">
        <w:rPr>
          <w:rFonts w:ascii="Poppins" w:hAnsi="Poppins" w:cs="Poppins"/>
          <w:color w:val="000000"/>
          <w:sz w:val="20"/>
          <w:szCs w:val="20"/>
        </w:rPr>
        <w:t xml:space="preserve"> </w:t>
      </w:r>
      <w:proofErr w:type="spellStart"/>
      <w:r w:rsidRPr="007E278D">
        <w:rPr>
          <w:rFonts w:ascii="Poppins" w:hAnsi="Poppins" w:cs="Poppins"/>
          <w:color w:val="000000"/>
          <w:sz w:val="20"/>
          <w:szCs w:val="20"/>
        </w:rPr>
        <w:t>Biik</w:t>
      </w:r>
      <w:proofErr w:type="spellEnd"/>
      <w:r w:rsidRPr="007E278D">
        <w:rPr>
          <w:rFonts w:ascii="Poppins" w:hAnsi="Poppins" w:cs="Poppins"/>
          <w:color w:val="000000"/>
          <w:sz w:val="20"/>
          <w:szCs w:val="20"/>
        </w:rPr>
        <w:t xml:space="preserve"> Junior Ranger Program secured an additional two years of federal funding and received recognition at the 2026 Keep Australia Beautiful Tidy Town Awards and LGPro Excellence Awards.</w:t>
      </w:r>
    </w:p>
    <w:p w14:paraId="0600AAD6" w14:textId="77777777" w:rsidR="007E278D" w:rsidRPr="007E278D" w:rsidRDefault="007E278D" w:rsidP="00C73B85">
      <w:pPr>
        <w:numPr>
          <w:ilvl w:val="0"/>
          <w:numId w:val="12"/>
        </w:numPr>
        <w:spacing w:before="0" w:after="0" w:line="240" w:lineRule="auto"/>
        <w:contextualSpacing/>
        <w:rPr>
          <w:rFonts w:ascii="Poppins" w:hAnsi="Poppins" w:cs="Poppins"/>
          <w:color w:val="000000"/>
          <w:sz w:val="20"/>
          <w:szCs w:val="20"/>
        </w:rPr>
      </w:pPr>
      <w:r w:rsidRPr="007E278D">
        <w:rPr>
          <w:rFonts w:ascii="Poppins" w:hAnsi="Poppins" w:cs="Poppins"/>
          <w:color w:val="000000"/>
          <w:sz w:val="20"/>
          <w:szCs w:val="20"/>
        </w:rPr>
        <w:t>Delivered events and activities across NAIDOC and Reconciliation week.</w:t>
      </w:r>
    </w:p>
    <w:p w14:paraId="5E5B60F2" w14:textId="1BC39B76" w:rsidR="009A749C" w:rsidRDefault="007E278D" w:rsidP="00BD451F">
      <w:pPr>
        <w:numPr>
          <w:ilvl w:val="0"/>
          <w:numId w:val="12"/>
        </w:numPr>
        <w:spacing w:before="0" w:after="0" w:line="240" w:lineRule="auto"/>
        <w:contextualSpacing/>
        <w:rPr>
          <w:rFonts w:ascii="Poppins" w:hAnsi="Poppins" w:cs="Poppins"/>
          <w:color w:val="000000"/>
          <w:sz w:val="20"/>
          <w:szCs w:val="20"/>
        </w:rPr>
      </w:pPr>
      <w:r w:rsidRPr="007E278D">
        <w:rPr>
          <w:rFonts w:ascii="Poppins" w:hAnsi="Poppins" w:cs="Poppins"/>
          <w:color w:val="000000"/>
          <w:sz w:val="20"/>
          <w:szCs w:val="20"/>
        </w:rPr>
        <w:t>Established a First Nations staff webpage providing access to cultural protocols, First Nations history, and learning and development resources.</w:t>
      </w:r>
    </w:p>
    <w:p w14:paraId="56D51F0C" w14:textId="77777777" w:rsidR="00BD451F" w:rsidRPr="00BD451F" w:rsidRDefault="00BD451F" w:rsidP="00BD451F">
      <w:pPr>
        <w:spacing w:before="0" w:after="0" w:line="240" w:lineRule="auto"/>
        <w:ind w:left="720"/>
        <w:contextualSpacing/>
        <w:rPr>
          <w:rFonts w:ascii="Poppins" w:hAnsi="Poppins" w:cs="Poppins"/>
          <w:color w:val="000000"/>
          <w:sz w:val="20"/>
          <w:szCs w:val="20"/>
        </w:rPr>
      </w:pPr>
    </w:p>
    <w:p w14:paraId="2F976A7F" w14:textId="4FDE7509" w:rsidR="00C73B85" w:rsidRPr="00BD451F" w:rsidRDefault="00C73B85" w:rsidP="009A749C">
      <w:pPr>
        <w:spacing w:before="0" w:after="160" w:line="278" w:lineRule="auto"/>
        <w:rPr>
          <w:b/>
          <w:bCs/>
        </w:rPr>
      </w:pPr>
      <w:r w:rsidRPr="00BD451F">
        <w:rPr>
          <w:b/>
          <w:bCs/>
        </w:rPr>
        <w:t>Opportunities</w:t>
      </w:r>
    </w:p>
    <w:p w14:paraId="6D01A9EA" w14:textId="12541FB6" w:rsidR="00BD451F" w:rsidRPr="00BD451F" w:rsidRDefault="00BD451F" w:rsidP="00BD451F">
      <w:pPr>
        <w:numPr>
          <w:ilvl w:val="0"/>
          <w:numId w:val="12"/>
        </w:numPr>
        <w:spacing w:before="0" w:after="0" w:line="240" w:lineRule="auto"/>
        <w:contextualSpacing/>
        <w:rPr>
          <w:rFonts w:ascii="Poppins" w:hAnsi="Poppins" w:cs="Poppins"/>
          <w:color w:val="000000"/>
          <w:sz w:val="20"/>
          <w:szCs w:val="20"/>
        </w:rPr>
      </w:pPr>
      <w:r w:rsidRPr="747FA207">
        <w:rPr>
          <w:rFonts w:ascii="Poppins" w:hAnsi="Poppins" w:cs="Poppins"/>
          <w:color w:val="000000" w:themeColor="text1"/>
          <w:sz w:val="20"/>
          <w:szCs w:val="20"/>
        </w:rPr>
        <w:t xml:space="preserve">Implemented targeted recruitment strategies to increase First Nations employment, resulting in the </w:t>
      </w:r>
      <w:r w:rsidR="04A31D18" w:rsidRPr="747FA207">
        <w:rPr>
          <w:rFonts w:ascii="Poppins" w:hAnsi="Poppins" w:cs="Poppins"/>
          <w:color w:val="000000" w:themeColor="text1"/>
          <w:sz w:val="20"/>
          <w:szCs w:val="20"/>
        </w:rPr>
        <w:t>creation</w:t>
      </w:r>
      <w:r w:rsidRPr="747FA207">
        <w:rPr>
          <w:rFonts w:ascii="Poppins" w:hAnsi="Poppins" w:cs="Poppins"/>
          <w:color w:val="000000" w:themeColor="text1"/>
          <w:sz w:val="20"/>
          <w:szCs w:val="20"/>
        </w:rPr>
        <w:t xml:space="preserve"> of a First Nations Trainee and two identified Junior Ranger positions at The Briars.</w:t>
      </w:r>
    </w:p>
    <w:p w14:paraId="73E079CE" w14:textId="3442C674" w:rsidR="00BD451F" w:rsidRPr="00BD451F" w:rsidRDefault="00BD451F" w:rsidP="139CF35B">
      <w:pPr>
        <w:numPr>
          <w:ilvl w:val="0"/>
          <w:numId w:val="12"/>
        </w:numPr>
        <w:spacing w:before="0" w:after="0" w:line="240" w:lineRule="auto"/>
        <w:contextualSpacing/>
        <w:rPr>
          <w:rFonts w:ascii="Poppins" w:hAnsi="Poppins" w:cs="Poppins"/>
          <w:color w:val="000000"/>
          <w:sz w:val="20"/>
          <w:szCs w:val="20"/>
        </w:rPr>
      </w:pPr>
      <w:r w:rsidRPr="139CF35B">
        <w:rPr>
          <w:rFonts w:ascii="Poppins" w:hAnsi="Poppins" w:cs="Poppins"/>
          <w:color w:val="000000" w:themeColor="text1"/>
          <w:sz w:val="20"/>
          <w:szCs w:val="20"/>
        </w:rPr>
        <w:t xml:space="preserve">12-month </w:t>
      </w:r>
      <w:proofErr w:type="spellStart"/>
      <w:r w:rsidRPr="139CF35B">
        <w:rPr>
          <w:rFonts w:ascii="Poppins" w:hAnsi="Poppins" w:cs="Poppins"/>
          <w:color w:val="000000" w:themeColor="text1"/>
          <w:sz w:val="20"/>
          <w:szCs w:val="20"/>
        </w:rPr>
        <w:t>Kinaway</w:t>
      </w:r>
      <w:proofErr w:type="spellEnd"/>
      <w:r w:rsidRPr="139CF35B">
        <w:rPr>
          <w:rFonts w:ascii="Poppins" w:hAnsi="Poppins" w:cs="Poppins"/>
          <w:color w:val="000000" w:themeColor="text1"/>
          <w:sz w:val="20"/>
          <w:szCs w:val="20"/>
        </w:rPr>
        <w:t xml:space="preserve"> </w:t>
      </w:r>
      <w:r w:rsidR="6819939E" w:rsidRPr="139CF35B">
        <w:rPr>
          <w:rFonts w:ascii="Poppins" w:hAnsi="Poppins" w:cs="Poppins"/>
          <w:color w:val="000000" w:themeColor="text1"/>
          <w:sz w:val="20"/>
          <w:szCs w:val="20"/>
        </w:rPr>
        <w:t xml:space="preserve">Chamber of Commerce </w:t>
      </w:r>
      <w:r w:rsidRPr="139CF35B">
        <w:rPr>
          <w:rFonts w:ascii="Poppins" w:hAnsi="Poppins" w:cs="Poppins"/>
          <w:color w:val="000000" w:themeColor="text1"/>
          <w:sz w:val="20"/>
          <w:szCs w:val="20"/>
        </w:rPr>
        <w:t xml:space="preserve">membership purchased and utilised. </w:t>
      </w:r>
      <w:proofErr w:type="spellStart"/>
      <w:r w:rsidR="003E1D2E" w:rsidRPr="139CF35B">
        <w:rPr>
          <w:rFonts w:ascii="Poppins" w:hAnsi="Poppins" w:cs="Poppins"/>
          <w:color w:val="000000" w:themeColor="text1"/>
          <w:sz w:val="20"/>
          <w:szCs w:val="20"/>
        </w:rPr>
        <w:t>Kinaway</w:t>
      </w:r>
      <w:proofErr w:type="spellEnd"/>
      <w:r w:rsidR="003E1D2E" w:rsidRPr="139CF35B">
        <w:rPr>
          <w:rFonts w:ascii="Poppins" w:hAnsi="Poppins" w:cs="Poppins"/>
          <w:color w:val="000000" w:themeColor="text1"/>
          <w:sz w:val="20"/>
          <w:szCs w:val="20"/>
        </w:rPr>
        <w:t xml:space="preserve"> Chamber of Commerce is an established charity with the purpose of advancing Victorian Aboriginal businesses to actively participate and excel in both national and international economies.</w:t>
      </w:r>
    </w:p>
    <w:p w14:paraId="70371434" w14:textId="05ADC129" w:rsidR="00BD451F" w:rsidRPr="00BD451F" w:rsidRDefault="00BD451F" w:rsidP="00BD451F">
      <w:pPr>
        <w:numPr>
          <w:ilvl w:val="0"/>
          <w:numId w:val="12"/>
        </w:numPr>
        <w:spacing w:before="0" w:after="0" w:line="240" w:lineRule="auto"/>
        <w:contextualSpacing/>
        <w:rPr>
          <w:rFonts w:ascii="Poppins" w:hAnsi="Poppins" w:cs="Poppins"/>
          <w:color w:val="000000"/>
          <w:sz w:val="20"/>
          <w:szCs w:val="20"/>
        </w:rPr>
      </w:pPr>
      <w:r w:rsidRPr="00BD451F">
        <w:rPr>
          <w:rFonts w:ascii="Poppins" w:hAnsi="Poppins" w:cs="Poppins"/>
          <w:color w:val="000000"/>
          <w:sz w:val="20"/>
          <w:szCs w:val="20"/>
        </w:rPr>
        <w:t>Delivered Koorie Kids Shine, Early Start Kindergarten and Best Start program, as well as cultural capability Yarning Circles for educators.</w:t>
      </w:r>
    </w:p>
    <w:p w14:paraId="7283200F" w14:textId="77777777" w:rsidR="009A749C" w:rsidRDefault="009A749C" w:rsidP="009A749C">
      <w:pPr>
        <w:spacing w:before="0" w:after="160" w:line="278" w:lineRule="auto"/>
      </w:pPr>
    </w:p>
    <w:p w14:paraId="17CCE72B" w14:textId="69663FCD" w:rsidR="00BD451F" w:rsidRPr="00FD27DE" w:rsidRDefault="00BD451F" w:rsidP="009A749C">
      <w:pPr>
        <w:spacing w:before="0" w:after="160" w:line="278" w:lineRule="auto"/>
        <w:rPr>
          <w:b/>
          <w:bCs/>
        </w:rPr>
      </w:pPr>
      <w:r w:rsidRPr="00FD27DE">
        <w:rPr>
          <w:b/>
          <w:bCs/>
        </w:rPr>
        <w:t>Governance</w:t>
      </w:r>
    </w:p>
    <w:p w14:paraId="4899A4CE" w14:textId="2781F5DC" w:rsidR="00FD27DE" w:rsidRPr="006950BF" w:rsidRDefault="00FD27DE" w:rsidP="006950BF">
      <w:pPr>
        <w:numPr>
          <w:ilvl w:val="0"/>
          <w:numId w:val="12"/>
        </w:numPr>
        <w:spacing w:before="0" w:after="0" w:line="240" w:lineRule="auto"/>
        <w:contextualSpacing/>
        <w:rPr>
          <w:rFonts w:ascii="Poppins" w:eastAsia="Poppins" w:hAnsi="Poppins" w:cs="Poppins"/>
          <w:sz w:val="20"/>
          <w:szCs w:val="20"/>
        </w:rPr>
      </w:pPr>
      <w:r w:rsidRPr="333C5B6C">
        <w:rPr>
          <w:rFonts w:ascii="Poppins" w:hAnsi="Poppins" w:cs="Poppins"/>
          <w:color w:val="000000" w:themeColor="text1"/>
          <w:sz w:val="20"/>
          <w:szCs w:val="20"/>
        </w:rPr>
        <w:t>Integrated RAP</w:t>
      </w:r>
      <w:r w:rsidR="2836DF56" w:rsidRPr="333C5B6C">
        <w:rPr>
          <w:rFonts w:ascii="Poppins" w:hAnsi="Poppins" w:cs="Poppins"/>
          <w:color w:val="000000" w:themeColor="text1"/>
          <w:sz w:val="20"/>
          <w:szCs w:val="20"/>
        </w:rPr>
        <w:t xml:space="preserve"> </w:t>
      </w:r>
      <w:r w:rsidR="2836DF56" w:rsidRPr="0FCAF948">
        <w:rPr>
          <w:rFonts w:ascii="Segoe UI" w:eastAsia="Segoe UI" w:hAnsi="Segoe UI" w:cs="Segoe UI"/>
          <w:color w:val="242424"/>
          <w:sz w:val="21"/>
          <w:szCs w:val="21"/>
        </w:rPr>
        <w:t>r</w:t>
      </w:r>
      <w:r w:rsidR="2836DF56" w:rsidRPr="3BECF7A2">
        <w:rPr>
          <w:rFonts w:cs="Poppins"/>
          <w:color w:val="000000" w:themeColor="text1"/>
          <w:sz w:val="20"/>
          <w:szCs w:val="20"/>
        </w:rPr>
        <w:t xml:space="preserve">eporting into our </w:t>
      </w:r>
      <w:r w:rsidR="2836DF56" w:rsidRPr="1CB7F0F9">
        <w:rPr>
          <w:rFonts w:cs="Poppins"/>
          <w:color w:val="000000" w:themeColor="text1"/>
          <w:sz w:val="20"/>
          <w:szCs w:val="20"/>
        </w:rPr>
        <w:t>corporate</w:t>
      </w:r>
      <w:r w:rsidR="2836DF56" w:rsidRPr="3BECF7A2">
        <w:rPr>
          <w:rFonts w:cs="Poppins"/>
          <w:color w:val="000000" w:themeColor="text1"/>
          <w:sz w:val="20"/>
          <w:szCs w:val="20"/>
        </w:rPr>
        <w:t xml:space="preserve"> planning organisation software to ensure all actions of RAP reported on across the </w:t>
      </w:r>
      <w:r w:rsidR="13D08D6A" w:rsidRPr="072A6D7C">
        <w:rPr>
          <w:rFonts w:cs="Poppins"/>
          <w:color w:val="000000" w:themeColor="text1"/>
          <w:sz w:val="20"/>
          <w:szCs w:val="20"/>
        </w:rPr>
        <w:t>organisation</w:t>
      </w:r>
      <w:r w:rsidR="13D08D6A" w:rsidRPr="3DD1E826">
        <w:rPr>
          <w:rFonts w:cs="Poppins"/>
          <w:color w:val="000000" w:themeColor="text1"/>
          <w:sz w:val="20"/>
          <w:szCs w:val="20"/>
        </w:rPr>
        <w:t>.</w:t>
      </w:r>
    </w:p>
    <w:p w14:paraId="3628CD43" w14:textId="70D29F62" w:rsidR="00BD451F" w:rsidRPr="006950BF" w:rsidRDefault="00FD27DE" w:rsidP="139CF35B">
      <w:pPr>
        <w:numPr>
          <w:ilvl w:val="0"/>
          <w:numId w:val="12"/>
        </w:numPr>
        <w:spacing w:before="0" w:after="0" w:line="240" w:lineRule="auto"/>
        <w:contextualSpacing/>
        <w:rPr>
          <w:rFonts w:ascii="Poppins" w:hAnsi="Poppins" w:cs="Poppins"/>
          <w:color w:val="000000"/>
          <w:sz w:val="20"/>
          <w:szCs w:val="20"/>
        </w:rPr>
      </w:pPr>
      <w:r w:rsidRPr="139CF35B">
        <w:rPr>
          <w:rFonts w:ascii="Poppins" w:hAnsi="Poppins" w:cs="Poppins"/>
          <w:color w:val="000000" w:themeColor="text1"/>
          <w:sz w:val="20"/>
          <w:szCs w:val="20"/>
        </w:rPr>
        <w:t>Re-established and expanded the RAP Working Group</w:t>
      </w:r>
      <w:r w:rsidR="49E31947" w:rsidRPr="139CF35B">
        <w:rPr>
          <w:rFonts w:ascii="Poppins" w:hAnsi="Poppins" w:cs="Poppins"/>
          <w:color w:val="000000" w:themeColor="text1"/>
          <w:sz w:val="20"/>
          <w:szCs w:val="20"/>
        </w:rPr>
        <w:t xml:space="preserve"> to include </w:t>
      </w:r>
      <w:r w:rsidR="0B9C2C1C" w:rsidRPr="139CF35B">
        <w:rPr>
          <w:rFonts w:ascii="Poppins" w:hAnsi="Poppins" w:cs="Poppins"/>
          <w:color w:val="000000" w:themeColor="text1"/>
          <w:sz w:val="20"/>
          <w:szCs w:val="20"/>
        </w:rPr>
        <w:t>key internal stakeholders and allies.</w:t>
      </w:r>
    </w:p>
    <w:p w14:paraId="567A37F4" w14:textId="0FCF806E" w:rsidR="00100761" w:rsidRDefault="00100761" w:rsidP="008A6332">
      <w:pPr>
        <w:pStyle w:val="BodyText"/>
      </w:pPr>
    </w:p>
    <w:p w14:paraId="77D2708F" w14:textId="0DA359D3" w:rsidR="00A959C5" w:rsidRPr="00DF22A0" w:rsidRDefault="00AC6D01" w:rsidP="00DF22A0">
      <w:pPr>
        <w:pStyle w:val="Heading1"/>
        <w:rPr>
          <w:rFonts w:asciiTheme="majorHAnsi" w:hAnsiTheme="majorHAnsi" w:cstheme="majorHAnsi"/>
        </w:rPr>
      </w:pPr>
      <w:bookmarkStart w:id="2" w:name="_Toc237424295"/>
      <w:r>
        <w:rPr>
          <w:rFonts w:asciiTheme="majorHAnsi" w:hAnsiTheme="majorHAnsi" w:cstheme="majorHAnsi"/>
        </w:rPr>
        <w:lastRenderedPageBreak/>
        <w:t>Reconciliation</w:t>
      </w:r>
      <w:r w:rsidR="00C63A5A" w:rsidRPr="00083878">
        <w:rPr>
          <w:rFonts w:asciiTheme="majorHAnsi" w:hAnsiTheme="majorHAnsi" w:cstheme="majorHAnsi"/>
        </w:rPr>
        <w:t xml:space="preserve"> </w:t>
      </w:r>
      <w:r w:rsidR="00F848A8" w:rsidRPr="00083878">
        <w:rPr>
          <w:rFonts w:asciiTheme="majorHAnsi" w:hAnsiTheme="majorHAnsi" w:cstheme="majorHAnsi"/>
        </w:rPr>
        <w:t>Actio</w:t>
      </w:r>
      <w:r w:rsidR="00F848A8" w:rsidRPr="00100761">
        <w:rPr>
          <w:rFonts w:asciiTheme="majorHAnsi" w:hAnsiTheme="majorHAnsi" w:cstheme="majorHAnsi"/>
        </w:rPr>
        <w:t xml:space="preserve">n Plan </w:t>
      </w:r>
      <w:r w:rsidRPr="00100761">
        <w:rPr>
          <w:rFonts w:asciiTheme="majorHAnsi" w:hAnsiTheme="majorHAnsi" w:cstheme="majorHAnsi"/>
        </w:rPr>
        <w:t>Progress</w:t>
      </w:r>
      <w:bookmarkEnd w:id="2"/>
      <w:r w:rsidR="00DF22A0">
        <w:rPr>
          <w:rFonts w:asciiTheme="majorHAnsi" w:hAnsiTheme="majorHAnsi" w:cstheme="majorHAnsi"/>
        </w:rPr>
        <w:t xml:space="preserve"> 2025/2026</w:t>
      </w:r>
    </w:p>
    <w:tbl>
      <w:tblPr>
        <w:tblStyle w:val="TableGrid"/>
        <w:tblW w:w="9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2213"/>
        <w:gridCol w:w="4205"/>
        <w:gridCol w:w="1050"/>
      </w:tblGrid>
      <w:tr w:rsidR="00EB5139" w:rsidRPr="006949AB" w14:paraId="64D8BDDC" w14:textId="54FA1C40" w:rsidTr="676337C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98" w:type="dxa"/>
            <w:gridSpan w:val="4"/>
            <w:shd w:val="clear" w:color="auto" w:fill="auto"/>
          </w:tcPr>
          <w:p w14:paraId="1A1A984C" w14:textId="1B92F833" w:rsidR="00EB5139" w:rsidRPr="008C03B2" w:rsidRDefault="00EB5139" w:rsidP="00C63A5A">
            <w:pPr>
              <w:pStyle w:val="BodyText"/>
              <w:rPr>
                <w:rFonts w:ascii="Poppins" w:hAnsi="Poppins" w:cs="Poppins"/>
                <w:bCs/>
                <w:sz w:val="24"/>
                <w:szCs w:val="24"/>
              </w:rPr>
            </w:pPr>
            <w:r w:rsidRPr="008C03B2">
              <w:rPr>
                <w:rFonts w:ascii="Poppins" w:hAnsi="Poppins" w:cs="Poppins"/>
                <w:bCs/>
                <w:color w:val="auto"/>
                <w:sz w:val="24"/>
                <w:szCs w:val="24"/>
              </w:rPr>
              <w:t>Relationships</w:t>
            </w:r>
          </w:p>
        </w:tc>
      </w:tr>
      <w:tr w:rsidR="00A40338" w:rsidRPr="006949AB" w14:paraId="6AC9C137" w14:textId="5E4D3812"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shd w:val="clear" w:color="auto" w:fill="auto"/>
            <w:hideMark/>
          </w:tcPr>
          <w:p w14:paraId="0CE3BEB2" w14:textId="4499ACFD" w:rsidR="00A40338" w:rsidRPr="006949AB" w:rsidRDefault="00A40338" w:rsidP="00C63A5A">
            <w:pPr>
              <w:pStyle w:val="BodyText"/>
              <w:rPr>
                <w:rFonts w:ascii="Poppins" w:hAnsi="Poppins" w:cs="Poppins"/>
                <w:bCs/>
              </w:rPr>
            </w:pPr>
            <w:r>
              <w:rPr>
                <w:rFonts w:ascii="Poppins" w:hAnsi="Poppins" w:cs="Poppins"/>
                <w:bCs/>
              </w:rPr>
              <w:t>Action</w:t>
            </w:r>
          </w:p>
        </w:tc>
        <w:tc>
          <w:tcPr>
            <w:tcW w:w="2213" w:type="dxa"/>
            <w:shd w:val="clear" w:color="auto" w:fill="auto"/>
            <w:hideMark/>
          </w:tcPr>
          <w:p w14:paraId="18176E9C" w14:textId="1ABB6B06"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Cs/>
              </w:rPr>
            </w:pPr>
            <w:r>
              <w:rPr>
                <w:rFonts w:ascii="Poppins" w:hAnsi="Poppins" w:cs="Poppins"/>
                <w:bCs/>
              </w:rPr>
              <w:t>Deliverable</w:t>
            </w:r>
          </w:p>
        </w:tc>
        <w:tc>
          <w:tcPr>
            <w:tcW w:w="4205" w:type="dxa"/>
            <w:shd w:val="clear" w:color="auto" w:fill="FFFFFF" w:themeFill="background1"/>
            <w:hideMark/>
          </w:tcPr>
          <w:p w14:paraId="1C8D10C9" w14:textId="77777777"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Cs/>
              </w:rPr>
            </w:pPr>
            <w:r w:rsidRPr="006949AB">
              <w:rPr>
                <w:rFonts w:ascii="Poppins" w:hAnsi="Poppins" w:cs="Poppins"/>
                <w:bCs/>
              </w:rPr>
              <w:t>Annual Report</w:t>
            </w:r>
          </w:p>
        </w:tc>
        <w:tc>
          <w:tcPr>
            <w:tcW w:w="1050" w:type="dxa"/>
            <w:shd w:val="clear" w:color="auto" w:fill="FFFFFF" w:themeFill="background1"/>
          </w:tcPr>
          <w:p w14:paraId="536CF7DC" w14:textId="02EACC54" w:rsidR="00A40338" w:rsidRPr="006949AB" w:rsidRDefault="00EB5139"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Cs/>
              </w:rPr>
            </w:pPr>
            <w:r>
              <w:rPr>
                <w:rFonts w:ascii="Poppins" w:hAnsi="Poppins" w:cs="Poppins"/>
                <w:bCs/>
              </w:rPr>
              <w:t>Status</w:t>
            </w:r>
          </w:p>
        </w:tc>
      </w:tr>
      <w:tr w:rsidR="00A40338" w:rsidRPr="006949AB" w14:paraId="7275D038" w14:textId="2B2DEE37"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val="restart"/>
            <w:tcBorders>
              <w:bottom w:val="single" w:sz="4" w:space="0" w:color="auto"/>
            </w:tcBorders>
            <w:shd w:val="clear" w:color="auto" w:fill="auto"/>
            <w:hideMark/>
          </w:tcPr>
          <w:p w14:paraId="59063EC9" w14:textId="37782D58" w:rsidR="00A40338" w:rsidRPr="006949AB" w:rsidRDefault="00A40338" w:rsidP="00C63A5A">
            <w:pPr>
              <w:pStyle w:val="BodyText"/>
              <w:rPr>
                <w:rFonts w:ascii="Poppins" w:hAnsi="Poppins" w:cs="Poppins"/>
              </w:rPr>
            </w:pPr>
            <w:r w:rsidRPr="006949AB">
              <w:rPr>
                <w:rFonts w:ascii="Poppins" w:hAnsi="Poppins" w:cs="Poppins"/>
              </w:rPr>
              <w:t>1.</w:t>
            </w:r>
            <w:r>
              <w:rPr>
                <w:rFonts w:ascii="Poppins" w:hAnsi="Poppins" w:cs="Poppins"/>
              </w:rPr>
              <w:t xml:space="preserve"> </w:t>
            </w:r>
            <w:r w:rsidRPr="00EE5EB8">
              <w:rPr>
                <w:rFonts w:ascii="Poppins" w:hAnsi="Poppins" w:cs="Poppins"/>
              </w:rPr>
              <w:t>Establish and maintain mutually beneficial relationships with Aboriginal and Torres Strait Islander stakeholders and organisations.  </w:t>
            </w:r>
          </w:p>
        </w:tc>
        <w:tc>
          <w:tcPr>
            <w:tcW w:w="2213" w:type="dxa"/>
            <w:tcBorders>
              <w:bottom w:val="single" w:sz="4" w:space="0" w:color="auto"/>
            </w:tcBorders>
            <w:shd w:val="clear" w:color="auto" w:fill="auto"/>
            <w:hideMark/>
          </w:tcPr>
          <w:p w14:paraId="5FA37CC2" w14:textId="7082AD74"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1.1</w:t>
            </w:r>
            <w:r>
              <w:rPr>
                <w:rFonts w:ascii="Poppins" w:hAnsi="Poppins" w:cs="Poppins"/>
              </w:rPr>
              <w:t xml:space="preserve"> </w:t>
            </w:r>
            <w:r w:rsidRPr="00007144">
              <w:rPr>
                <w:rFonts w:ascii="Poppins" w:hAnsi="Poppins" w:cs="Poppins"/>
              </w:rPr>
              <w:t>Meet with Traditional Owner Groups and other Aboriginal and Torres Strait Islander organisations to develop guiding principles for future engagement. </w:t>
            </w:r>
          </w:p>
        </w:tc>
        <w:tc>
          <w:tcPr>
            <w:tcW w:w="4205" w:type="dxa"/>
            <w:tcBorders>
              <w:bottom w:val="single" w:sz="4" w:space="0" w:color="auto"/>
            </w:tcBorders>
            <w:shd w:val="clear" w:color="auto" w:fill="FFFFFF" w:themeFill="background1"/>
            <w:hideMark/>
          </w:tcPr>
          <w:p w14:paraId="044BFEAC" w14:textId="2FD88210" w:rsidR="00A40338" w:rsidRPr="006949AB" w:rsidRDefault="00A40338" w:rsidP="0000714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007144">
              <w:rPr>
                <w:rFonts w:ascii="Poppins" w:hAnsi="Poppins" w:cs="Poppins"/>
              </w:rPr>
              <w:t>Strong relationships have</w:t>
            </w:r>
            <w:r w:rsidR="00C2056C">
              <w:rPr>
                <w:rFonts w:ascii="Poppins" w:hAnsi="Poppins" w:cs="Poppins"/>
              </w:rPr>
              <w:t xml:space="preserve"> b</w:t>
            </w:r>
            <w:r w:rsidRPr="00007144">
              <w:rPr>
                <w:rFonts w:ascii="Poppins" w:hAnsi="Poppins" w:cs="Poppins"/>
              </w:rPr>
              <w:t>een</w:t>
            </w:r>
            <w:r w:rsidR="005B5541">
              <w:rPr>
                <w:rFonts w:ascii="Poppins" w:hAnsi="Poppins" w:cs="Poppins"/>
              </w:rPr>
              <w:t xml:space="preserve"> </w:t>
            </w:r>
            <w:r w:rsidRPr="00007144">
              <w:rPr>
                <w:rFonts w:ascii="Poppins" w:hAnsi="Poppins" w:cs="Poppins"/>
              </w:rPr>
              <w:t>established</w:t>
            </w:r>
            <w:r w:rsidR="005B5541">
              <w:rPr>
                <w:rFonts w:ascii="Poppins" w:hAnsi="Poppins" w:cs="Poppins"/>
              </w:rPr>
              <w:t xml:space="preserve"> </w:t>
            </w:r>
            <w:r w:rsidRPr="00007144">
              <w:rPr>
                <w:rFonts w:ascii="Poppins" w:hAnsi="Poppins" w:cs="Poppins"/>
              </w:rPr>
              <w:t>with key First Nations stakeholders, including Willum Warrain Gathering Place, Bunurong Land Council, Our Songlines and Living Culture, forming</w:t>
            </w:r>
            <w:r w:rsidR="005B5541">
              <w:rPr>
                <w:rFonts w:ascii="Poppins" w:hAnsi="Poppins" w:cs="Poppins"/>
              </w:rPr>
              <w:t xml:space="preserve"> </w:t>
            </w:r>
            <w:r w:rsidRPr="00007144">
              <w:rPr>
                <w:rFonts w:ascii="Poppins" w:hAnsi="Poppins" w:cs="Poppins"/>
              </w:rPr>
              <w:t>a strong foundation</w:t>
            </w:r>
            <w:r w:rsidR="005B5541">
              <w:rPr>
                <w:rFonts w:ascii="Poppins" w:hAnsi="Poppins" w:cs="Poppins"/>
              </w:rPr>
              <w:t xml:space="preserve"> </w:t>
            </w:r>
            <w:r w:rsidRPr="00007144">
              <w:rPr>
                <w:rFonts w:ascii="Poppins" w:hAnsi="Poppins" w:cs="Poppins"/>
              </w:rPr>
              <w:t>for the development of guiding principles to support future engagement. The development of a First Nations Engagement Framework has commenced, with all identified First Nations stakeholders and partners across the Mornington Peninsula mapped and invited to meet with the Shire to discuss their preferred methods of engagement</w:t>
            </w:r>
            <w:r w:rsidR="00587DEC">
              <w:rPr>
                <w:rFonts w:ascii="Poppins" w:hAnsi="Poppins" w:cs="Poppins"/>
              </w:rPr>
              <w:t xml:space="preserve">, </w:t>
            </w:r>
            <w:r w:rsidRPr="00007144">
              <w:rPr>
                <w:rFonts w:ascii="Poppins" w:hAnsi="Poppins" w:cs="Poppins"/>
              </w:rPr>
              <w:t>service collaboration, and how they would like their voices heard in the development of policies, plans and strategies that impact First Nations</w:t>
            </w:r>
            <w:r w:rsidR="00C2056C">
              <w:rPr>
                <w:rFonts w:ascii="Poppins" w:hAnsi="Poppins" w:cs="Poppins"/>
              </w:rPr>
              <w:t xml:space="preserve"> </w:t>
            </w:r>
            <w:r w:rsidR="00855061">
              <w:rPr>
                <w:rFonts w:ascii="Poppins" w:hAnsi="Poppins" w:cs="Poppins"/>
              </w:rPr>
              <w:t>c</w:t>
            </w:r>
            <w:r w:rsidRPr="00007144">
              <w:rPr>
                <w:rFonts w:ascii="Poppins" w:hAnsi="Poppins" w:cs="Poppins"/>
              </w:rPr>
              <w:t>ommunities.</w:t>
            </w:r>
            <w:r w:rsidR="005B5541">
              <w:rPr>
                <w:rFonts w:ascii="Poppins" w:hAnsi="Poppins" w:cs="Poppins"/>
              </w:rPr>
              <w:t xml:space="preserve"> </w:t>
            </w:r>
            <w:r w:rsidRPr="00007144">
              <w:rPr>
                <w:rFonts w:ascii="Poppins" w:hAnsi="Poppins" w:cs="Poppins"/>
              </w:rPr>
              <w:t>Conversations</w:t>
            </w:r>
            <w:r w:rsidR="005B5541">
              <w:rPr>
                <w:rFonts w:ascii="Poppins" w:hAnsi="Poppins" w:cs="Poppins"/>
              </w:rPr>
              <w:t xml:space="preserve"> </w:t>
            </w:r>
            <w:r w:rsidRPr="00007144">
              <w:rPr>
                <w:rFonts w:ascii="Poppins" w:hAnsi="Poppins" w:cs="Poppins"/>
              </w:rPr>
              <w:t>are</w:t>
            </w:r>
            <w:r w:rsidR="005B5541">
              <w:rPr>
                <w:rFonts w:ascii="Poppins" w:hAnsi="Poppins" w:cs="Poppins"/>
              </w:rPr>
              <w:t xml:space="preserve"> </w:t>
            </w:r>
            <w:r w:rsidRPr="00007144">
              <w:rPr>
                <w:rFonts w:ascii="Poppins" w:hAnsi="Poppins" w:cs="Poppins"/>
              </w:rPr>
              <w:t>continuing to progress and</w:t>
            </w:r>
            <w:r w:rsidR="005B5541">
              <w:rPr>
                <w:rFonts w:ascii="Poppins" w:hAnsi="Poppins" w:cs="Poppins"/>
              </w:rPr>
              <w:t xml:space="preserve"> </w:t>
            </w:r>
            <w:r w:rsidRPr="00007144">
              <w:rPr>
                <w:rFonts w:ascii="Poppins" w:hAnsi="Poppins" w:cs="Poppins"/>
              </w:rPr>
              <w:t>are</w:t>
            </w:r>
            <w:r w:rsidR="005B5541">
              <w:rPr>
                <w:rFonts w:ascii="Poppins" w:hAnsi="Poppins" w:cs="Poppins"/>
              </w:rPr>
              <w:t xml:space="preserve"> </w:t>
            </w:r>
            <w:r w:rsidRPr="00007144">
              <w:rPr>
                <w:rFonts w:ascii="Poppins" w:hAnsi="Poppins" w:cs="Poppins"/>
              </w:rPr>
              <w:t>providing</w:t>
            </w:r>
            <w:r w:rsidR="005B5541">
              <w:rPr>
                <w:rFonts w:ascii="Poppins" w:hAnsi="Poppins" w:cs="Poppins"/>
              </w:rPr>
              <w:t xml:space="preserve"> </w:t>
            </w:r>
            <w:r w:rsidRPr="00007144">
              <w:rPr>
                <w:rFonts w:ascii="Poppins" w:hAnsi="Poppins" w:cs="Poppins"/>
              </w:rPr>
              <w:t>valuable insights that will inform a</w:t>
            </w:r>
            <w:r w:rsidR="00582A5E">
              <w:rPr>
                <w:rFonts w:ascii="Poppins" w:hAnsi="Poppins" w:cs="Poppins"/>
              </w:rPr>
              <w:t xml:space="preserve"> </w:t>
            </w:r>
            <w:r w:rsidRPr="00007144">
              <w:rPr>
                <w:rFonts w:ascii="Poppins" w:hAnsi="Poppins" w:cs="Poppins"/>
              </w:rPr>
              <w:t>culturally</w:t>
            </w:r>
            <w:r w:rsidR="005B5541">
              <w:rPr>
                <w:rFonts w:ascii="Poppins" w:hAnsi="Poppins" w:cs="Poppins"/>
              </w:rPr>
              <w:t xml:space="preserve"> </w:t>
            </w:r>
            <w:r w:rsidRPr="00007144">
              <w:rPr>
                <w:rFonts w:ascii="Poppins" w:hAnsi="Poppins" w:cs="Poppins"/>
              </w:rPr>
              <w:t>appropriate,</w:t>
            </w:r>
            <w:r w:rsidR="005B5541">
              <w:rPr>
                <w:rFonts w:ascii="Poppins" w:hAnsi="Poppins" w:cs="Poppins"/>
              </w:rPr>
              <w:t xml:space="preserve"> </w:t>
            </w:r>
            <w:r w:rsidRPr="00007144">
              <w:rPr>
                <w:rFonts w:ascii="Poppins" w:hAnsi="Poppins" w:cs="Poppins"/>
              </w:rPr>
              <w:t>meaningful</w:t>
            </w:r>
            <w:r w:rsidR="005B5541">
              <w:rPr>
                <w:rFonts w:ascii="Poppins" w:hAnsi="Poppins" w:cs="Poppins"/>
              </w:rPr>
              <w:t xml:space="preserve"> </w:t>
            </w:r>
            <w:r w:rsidRPr="00007144">
              <w:rPr>
                <w:rFonts w:ascii="Poppins" w:hAnsi="Poppins" w:cs="Poppins"/>
              </w:rPr>
              <w:t>and sustainable approach to future engagement. </w:t>
            </w:r>
          </w:p>
        </w:tc>
        <w:tc>
          <w:tcPr>
            <w:tcW w:w="1050" w:type="dxa"/>
            <w:tcBorders>
              <w:bottom w:val="single" w:sz="4" w:space="0" w:color="auto"/>
            </w:tcBorders>
            <w:shd w:val="clear" w:color="auto" w:fill="D6EBC4" w:themeFill="accent1" w:themeFillTint="66"/>
          </w:tcPr>
          <w:p w14:paraId="1C1884D5" w14:textId="275CAE57" w:rsidR="00A40338" w:rsidRPr="00007144" w:rsidRDefault="00391623" w:rsidP="0000714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A40338" w:rsidRPr="006949AB" w14:paraId="4C62DC7E" w14:textId="41C47872"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58272407" w14:textId="77777777" w:rsidR="00A40338" w:rsidRPr="006949AB" w:rsidRDefault="00A40338" w:rsidP="00C63A5A">
            <w:pPr>
              <w:pStyle w:val="BodyText"/>
              <w:rPr>
                <w:rFonts w:ascii="Poppins" w:hAnsi="Poppins" w:cs="Poppins"/>
              </w:rPr>
            </w:pPr>
          </w:p>
        </w:tc>
        <w:tc>
          <w:tcPr>
            <w:tcW w:w="2213" w:type="dxa"/>
            <w:tcBorders>
              <w:bottom w:val="single" w:sz="4" w:space="0" w:color="auto"/>
            </w:tcBorders>
            <w:shd w:val="clear" w:color="auto" w:fill="auto"/>
            <w:hideMark/>
          </w:tcPr>
          <w:p w14:paraId="709E10EF" w14:textId="01F72E5F"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rPr>
              <w:t xml:space="preserve">1.2 </w:t>
            </w:r>
            <w:r w:rsidRPr="00BC3D47">
              <w:rPr>
                <w:rFonts w:ascii="Poppins" w:hAnsi="Poppins" w:cs="Poppins"/>
              </w:rPr>
              <w:t>Develop and implement an engagement plan to work with Aboriginal and Torres Strait Islander stakeholders and organisation</w:t>
            </w:r>
            <w:r>
              <w:rPr>
                <w:rFonts w:ascii="Poppins" w:hAnsi="Poppins" w:cs="Poppins"/>
              </w:rPr>
              <w:t>s</w:t>
            </w:r>
            <w:r w:rsidRPr="00BC3D47">
              <w:rPr>
                <w:rFonts w:ascii="Poppins" w:hAnsi="Poppins" w:cs="Poppins"/>
              </w:rPr>
              <w:t>.</w:t>
            </w:r>
          </w:p>
        </w:tc>
        <w:tc>
          <w:tcPr>
            <w:tcW w:w="4205" w:type="dxa"/>
            <w:tcBorders>
              <w:bottom w:val="single" w:sz="4" w:space="0" w:color="auto"/>
            </w:tcBorders>
            <w:shd w:val="clear" w:color="auto" w:fill="FFFFFF" w:themeFill="background1"/>
            <w:hideMark/>
          </w:tcPr>
          <w:p w14:paraId="45A0FEFC" w14:textId="56EED805" w:rsidR="00A40338" w:rsidRPr="006949AB" w:rsidRDefault="00A40338" w:rsidP="0054568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54568A">
              <w:rPr>
                <w:rFonts w:ascii="Poppins" w:hAnsi="Poppins" w:cs="Poppins"/>
              </w:rPr>
              <w:t>Phase one of this action is</w:t>
            </w:r>
            <w:r w:rsidR="005B5541">
              <w:rPr>
                <w:rFonts w:ascii="Poppins" w:hAnsi="Poppins" w:cs="Poppins"/>
              </w:rPr>
              <w:t xml:space="preserve"> </w:t>
            </w:r>
            <w:r w:rsidRPr="0054568A">
              <w:rPr>
                <w:rFonts w:ascii="Poppins" w:hAnsi="Poppins" w:cs="Poppins"/>
              </w:rPr>
              <w:t xml:space="preserve">currently </w:t>
            </w:r>
            <w:r w:rsidR="009F59C0">
              <w:rPr>
                <w:rFonts w:ascii="Poppins" w:hAnsi="Poppins" w:cs="Poppins"/>
              </w:rPr>
              <w:t xml:space="preserve">in </w:t>
            </w:r>
            <w:r w:rsidRPr="0054568A">
              <w:rPr>
                <w:rFonts w:ascii="Poppins" w:hAnsi="Poppins" w:cs="Poppins"/>
              </w:rPr>
              <w:t>place</w:t>
            </w:r>
            <w:r w:rsidR="005B5541">
              <w:rPr>
                <w:rFonts w:ascii="Poppins" w:hAnsi="Poppins" w:cs="Poppins"/>
              </w:rPr>
              <w:t xml:space="preserve"> </w:t>
            </w:r>
            <w:r w:rsidRPr="0054568A">
              <w:rPr>
                <w:rFonts w:ascii="Poppins" w:hAnsi="Poppins" w:cs="Poppins"/>
              </w:rPr>
              <w:t>which</w:t>
            </w:r>
            <w:r w:rsidR="005B5541">
              <w:rPr>
                <w:rFonts w:ascii="Poppins" w:hAnsi="Poppins" w:cs="Poppins"/>
              </w:rPr>
              <w:t xml:space="preserve"> </w:t>
            </w:r>
            <w:r w:rsidRPr="0054568A">
              <w:rPr>
                <w:rFonts w:ascii="Poppins" w:hAnsi="Poppins" w:cs="Poppins"/>
              </w:rPr>
              <w:t>has</w:t>
            </w:r>
            <w:r w:rsidR="005B5541">
              <w:rPr>
                <w:rFonts w:ascii="Poppins" w:hAnsi="Poppins" w:cs="Poppins"/>
              </w:rPr>
              <w:t xml:space="preserve"> </w:t>
            </w:r>
            <w:r w:rsidRPr="0054568A">
              <w:rPr>
                <w:rFonts w:ascii="Poppins" w:hAnsi="Poppins" w:cs="Poppins"/>
              </w:rPr>
              <w:t>involved</w:t>
            </w:r>
            <w:r w:rsidR="005B5541">
              <w:rPr>
                <w:rFonts w:ascii="Poppins" w:hAnsi="Poppins" w:cs="Poppins"/>
              </w:rPr>
              <w:t xml:space="preserve"> </w:t>
            </w:r>
            <w:r w:rsidRPr="0054568A">
              <w:rPr>
                <w:rFonts w:ascii="Poppins" w:hAnsi="Poppins" w:cs="Poppins"/>
              </w:rPr>
              <w:t>mapping</w:t>
            </w:r>
            <w:r w:rsidR="005B5541">
              <w:rPr>
                <w:rFonts w:ascii="Poppins" w:hAnsi="Poppins" w:cs="Poppins"/>
              </w:rPr>
              <w:t xml:space="preserve"> </w:t>
            </w:r>
            <w:r w:rsidRPr="0054568A">
              <w:rPr>
                <w:rFonts w:ascii="Poppins" w:hAnsi="Poppins" w:cs="Poppins"/>
              </w:rPr>
              <w:t>all</w:t>
            </w:r>
            <w:r w:rsidR="005B5541">
              <w:rPr>
                <w:rFonts w:ascii="Poppins" w:hAnsi="Poppins" w:cs="Poppins"/>
              </w:rPr>
              <w:t xml:space="preserve"> </w:t>
            </w:r>
            <w:r w:rsidRPr="0054568A">
              <w:rPr>
                <w:rFonts w:ascii="Poppins" w:hAnsi="Poppins" w:cs="Poppins"/>
              </w:rPr>
              <w:t>First Nations stakeholders on the Peninsula, reaching out to</w:t>
            </w:r>
            <w:r w:rsidR="005B5541">
              <w:rPr>
                <w:rFonts w:ascii="Poppins" w:hAnsi="Poppins" w:cs="Poppins"/>
              </w:rPr>
              <w:t xml:space="preserve"> </w:t>
            </w:r>
            <w:r w:rsidRPr="0054568A">
              <w:rPr>
                <w:rFonts w:ascii="Poppins" w:hAnsi="Poppins" w:cs="Poppins"/>
              </w:rPr>
              <w:t>each stakeholder to provide</w:t>
            </w:r>
            <w:r w:rsidR="005B5541">
              <w:rPr>
                <w:rFonts w:ascii="Poppins" w:hAnsi="Poppins" w:cs="Poppins"/>
              </w:rPr>
              <w:t xml:space="preserve"> </w:t>
            </w:r>
            <w:r w:rsidRPr="0054568A">
              <w:rPr>
                <w:rFonts w:ascii="Poppins" w:hAnsi="Poppins" w:cs="Poppins"/>
              </w:rPr>
              <w:t>an invitation to meet and discuss how the development and engagement plan should look in the future.  </w:t>
            </w:r>
          </w:p>
        </w:tc>
        <w:tc>
          <w:tcPr>
            <w:tcW w:w="1050" w:type="dxa"/>
            <w:tcBorders>
              <w:bottom w:val="single" w:sz="4" w:space="0" w:color="auto"/>
            </w:tcBorders>
            <w:shd w:val="clear" w:color="auto" w:fill="D6EBC4" w:themeFill="accent1" w:themeFillTint="66"/>
          </w:tcPr>
          <w:p w14:paraId="294D80BC" w14:textId="059BC1BC" w:rsidR="00A40338" w:rsidRPr="0054568A" w:rsidRDefault="00F12C37" w:rsidP="0054568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A40338" w:rsidRPr="006949AB" w14:paraId="5B1C2F0B" w14:textId="1DFF663B"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1F7B9C46" w14:textId="77777777" w:rsidR="00A40338" w:rsidRPr="006949AB" w:rsidRDefault="00A40338" w:rsidP="00C63A5A">
            <w:pPr>
              <w:pStyle w:val="BodyText"/>
              <w:rPr>
                <w:rFonts w:ascii="Poppins" w:hAnsi="Poppins" w:cs="Poppins"/>
              </w:rPr>
            </w:pPr>
          </w:p>
        </w:tc>
        <w:tc>
          <w:tcPr>
            <w:tcW w:w="2213" w:type="dxa"/>
            <w:tcBorders>
              <w:bottom w:val="single" w:sz="4" w:space="0" w:color="auto"/>
            </w:tcBorders>
            <w:shd w:val="clear" w:color="auto" w:fill="auto"/>
            <w:hideMark/>
          </w:tcPr>
          <w:p w14:paraId="6426F5A1" w14:textId="1AC1D634"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1.3</w:t>
            </w:r>
            <w:r>
              <w:rPr>
                <w:rFonts w:ascii="Poppins" w:hAnsi="Poppins" w:cs="Poppins"/>
              </w:rPr>
              <w:t xml:space="preserve"> </w:t>
            </w:r>
            <w:r w:rsidRPr="004F4701">
              <w:rPr>
                <w:rFonts w:ascii="Poppins" w:hAnsi="Poppins" w:cs="Poppins"/>
              </w:rPr>
              <w:t>Research best practice and principles that support partnerships with Aboriginal and Torres Strait Islander stakeholders and organisations.</w:t>
            </w:r>
            <w:r w:rsidRPr="004F4701">
              <w:rPr>
                <w:rFonts w:ascii="Times New Roman" w:hAnsi="Times New Roman"/>
              </w:rPr>
              <w:t> </w:t>
            </w:r>
            <w:r w:rsidRPr="004F4701">
              <w:rPr>
                <w:rFonts w:ascii="Poppins" w:hAnsi="Poppins" w:cs="Poppins"/>
              </w:rPr>
              <w:t> </w:t>
            </w:r>
            <w:r w:rsidRPr="006949AB">
              <w:rPr>
                <w:rFonts w:ascii="Poppins" w:hAnsi="Poppins" w:cs="Poppins"/>
              </w:rPr>
              <w:t xml:space="preserve"> </w:t>
            </w:r>
          </w:p>
        </w:tc>
        <w:tc>
          <w:tcPr>
            <w:tcW w:w="4205" w:type="dxa"/>
            <w:tcBorders>
              <w:bottom w:val="single" w:sz="4" w:space="0" w:color="auto"/>
            </w:tcBorders>
            <w:shd w:val="clear" w:color="auto" w:fill="FFFFFF" w:themeFill="background1"/>
            <w:hideMark/>
          </w:tcPr>
          <w:p w14:paraId="294BC6F3" w14:textId="4A84141F"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First Nations </w:t>
            </w:r>
            <w:r w:rsidRPr="00997D11">
              <w:rPr>
                <w:rFonts w:ascii="Poppins" w:hAnsi="Poppins" w:cs="Poppins"/>
              </w:rPr>
              <w:t>Officer</w:t>
            </w:r>
            <w:r w:rsidR="005B5541">
              <w:rPr>
                <w:rFonts w:ascii="Poppins" w:hAnsi="Poppins" w:cs="Poppins"/>
              </w:rPr>
              <w:t xml:space="preserve"> </w:t>
            </w:r>
            <w:r w:rsidRPr="00997D11">
              <w:rPr>
                <w:rFonts w:ascii="Poppins" w:hAnsi="Poppins" w:cs="Poppins"/>
              </w:rPr>
              <w:t>continues to maintain a strong and productive relationship with</w:t>
            </w:r>
            <w:r w:rsidR="005B5541">
              <w:rPr>
                <w:rFonts w:ascii="Poppins" w:hAnsi="Poppins" w:cs="Poppins"/>
              </w:rPr>
              <w:t xml:space="preserve"> </w:t>
            </w:r>
            <w:r>
              <w:rPr>
                <w:rFonts w:ascii="Poppins" w:hAnsi="Poppins" w:cs="Poppins"/>
              </w:rPr>
              <w:t>Willum Warrain G</w:t>
            </w:r>
            <w:r w:rsidRPr="00997D11">
              <w:rPr>
                <w:rFonts w:ascii="Poppins" w:hAnsi="Poppins" w:cs="Poppins"/>
              </w:rPr>
              <w:t xml:space="preserve">athering </w:t>
            </w:r>
            <w:r>
              <w:rPr>
                <w:rFonts w:ascii="Poppins" w:hAnsi="Poppins" w:cs="Poppins"/>
              </w:rPr>
              <w:t>P</w:t>
            </w:r>
            <w:r w:rsidRPr="00997D11">
              <w:rPr>
                <w:rFonts w:ascii="Poppins" w:hAnsi="Poppins" w:cs="Poppins"/>
              </w:rPr>
              <w:t>lace through regular meetings, open dialogue and the provision of support where</w:t>
            </w:r>
            <w:r w:rsidR="005B5541">
              <w:rPr>
                <w:rFonts w:ascii="Poppins" w:hAnsi="Poppins" w:cs="Poppins"/>
              </w:rPr>
              <w:t xml:space="preserve"> </w:t>
            </w:r>
            <w:r w:rsidRPr="00997D11">
              <w:rPr>
                <w:rFonts w:ascii="Poppins" w:hAnsi="Poppins" w:cs="Poppins"/>
              </w:rPr>
              <w:t>required. These conversations also</w:t>
            </w:r>
            <w:r w:rsidR="005B5541">
              <w:rPr>
                <w:rFonts w:ascii="Poppins" w:hAnsi="Poppins" w:cs="Poppins"/>
              </w:rPr>
              <w:t xml:space="preserve"> </w:t>
            </w:r>
            <w:r w:rsidRPr="00997D11">
              <w:rPr>
                <w:rFonts w:ascii="Poppins" w:hAnsi="Poppins" w:cs="Poppins"/>
              </w:rPr>
              <w:t>provide</w:t>
            </w:r>
            <w:r w:rsidR="005B5541">
              <w:rPr>
                <w:rFonts w:ascii="Poppins" w:hAnsi="Poppins" w:cs="Poppins"/>
              </w:rPr>
              <w:t xml:space="preserve"> </w:t>
            </w:r>
            <w:r w:rsidRPr="00997D11">
              <w:rPr>
                <w:rFonts w:ascii="Poppins" w:hAnsi="Poppins" w:cs="Poppins"/>
              </w:rPr>
              <w:t>valuable guidance on the most</w:t>
            </w:r>
            <w:r w:rsidR="005B5541">
              <w:rPr>
                <w:rFonts w:ascii="Poppins" w:hAnsi="Poppins" w:cs="Poppins"/>
              </w:rPr>
              <w:t xml:space="preserve"> </w:t>
            </w:r>
            <w:r w:rsidRPr="00997D11">
              <w:rPr>
                <w:rFonts w:ascii="Poppins" w:hAnsi="Poppins" w:cs="Poppins"/>
              </w:rPr>
              <w:t>appropriate ways</w:t>
            </w:r>
            <w:r w:rsidR="005B5541">
              <w:rPr>
                <w:rFonts w:ascii="Poppins" w:hAnsi="Poppins" w:cs="Poppins"/>
              </w:rPr>
              <w:t xml:space="preserve"> </w:t>
            </w:r>
            <w:r w:rsidRPr="00997D11">
              <w:rPr>
                <w:rFonts w:ascii="Poppins" w:hAnsi="Poppins" w:cs="Poppins"/>
              </w:rPr>
              <w:t>to</w:t>
            </w:r>
            <w:r w:rsidR="005B5541">
              <w:rPr>
                <w:rFonts w:ascii="Poppins" w:hAnsi="Poppins" w:cs="Poppins"/>
              </w:rPr>
              <w:t xml:space="preserve"> </w:t>
            </w:r>
            <w:r w:rsidRPr="00997D11">
              <w:rPr>
                <w:rFonts w:ascii="Poppins" w:hAnsi="Poppins" w:cs="Poppins"/>
              </w:rPr>
              <w:t>establish</w:t>
            </w:r>
            <w:r w:rsidR="005B5541">
              <w:rPr>
                <w:rFonts w:ascii="Poppins" w:hAnsi="Poppins" w:cs="Poppins"/>
              </w:rPr>
              <w:t xml:space="preserve"> </w:t>
            </w:r>
            <w:r w:rsidRPr="00997D11">
              <w:rPr>
                <w:rFonts w:ascii="Poppins" w:hAnsi="Poppins" w:cs="Poppins"/>
              </w:rPr>
              <w:t>meaningful partnerships with local First Nations communities and organisations. This work is informed by the Victorian Aboriginal and Local Government Strategy, Treaty</w:t>
            </w:r>
            <w:r w:rsidR="005B5541">
              <w:rPr>
                <w:rFonts w:ascii="Poppins" w:hAnsi="Poppins" w:cs="Poppins"/>
              </w:rPr>
              <w:t xml:space="preserve"> </w:t>
            </w:r>
            <w:r w:rsidRPr="00997D11">
              <w:rPr>
                <w:rFonts w:ascii="Poppins" w:hAnsi="Poppins" w:cs="Poppins"/>
              </w:rPr>
              <w:t>processes</w:t>
            </w:r>
            <w:r w:rsidR="005B5541">
              <w:rPr>
                <w:rFonts w:ascii="Poppins" w:hAnsi="Poppins" w:cs="Poppins"/>
              </w:rPr>
              <w:t xml:space="preserve"> </w:t>
            </w:r>
            <w:r w:rsidRPr="00997D11">
              <w:rPr>
                <w:rFonts w:ascii="Poppins" w:hAnsi="Poppins" w:cs="Poppins"/>
              </w:rPr>
              <w:t>and contemporary academic research, which collectively provide best-practice principles for engaging with and supporting First Nations stakeholders and organisations. </w:t>
            </w:r>
          </w:p>
        </w:tc>
        <w:tc>
          <w:tcPr>
            <w:tcW w:w="1050" w:type="dxa"/>
            <w:tcBorders>
              <w:bottom w:val="single" w:sz="4" w:space="0" w:color="auto"/>
            </w:tcBorders>
            <w:shd w:val="clear" w:color="auto" w:fill="D6EBC4" w:themeFill="accent1" w:themeFillTint="66"/>
          </w:tcPr>
          <w:p w14:paraId="6A01B0A9" w14:textId="038F9ABA" w:rsidR="00A40338" w:rsidRDefault="00F12C37"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A40338" w:rsidRPr="006949AB" w14:paraId="2006BE7C" w14:textId="3135906E"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21065597" w14:textId="77777777" w:rsidR="00A40338" w:rsidRPr="006949AB" w:rsidRDefault="00A40338" w:rsidP="00C63A5A">
            <w:pPr>
              <w:pStyle w:val="BodyText"/>
              <w:rPr>
                <w:rFonts w:ascii="Poppins" w:hAnsi="Poppins" w:cs="Poppins"/>
              </w:rPr>
            </w:pPr>
          </w:p>
        </w:tc>
        <w:tc>
          <w:tcPr>
            <w:tcW w:w="2213" w:type="dxa"/>
            <w:shd w:val="clear" w:color="auto" w:fill="auto"/>
            <w:hideMark/>
          </w:tcPr>
          <w:p w14:paraId="0B0E3B54" w14:textId="73589126"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rPr>
              <w:t>1.4</w:t>
            </w:r>
            <w:r>
              <w:rPr>
                <w:rFonts w:ascii="Poppins" w:hAnsi="Poppins" w:cs="Poppins"/>
              </w:rPr>
              <w:t xml:space="preserve"> </w:t>
            </w:r>
            <w:r w:rsidRPr="00B277A1">
              <w:rPr>
                <w:rFonts w:ascii="Poppins" w:hAnsi="Poppins" w:cs="Poppins"/>
              </w:rPr>
              <w:t>Continue to build the Friendly Council Partnership between the Shire and Roper Gulf Regional Council with annual meetings. </w:t>
            </w:r>
            <w:r w:rsidRPr="006949AB">
              <w:rPr>
                <w:rFonts w:ascii="Poppins" w:hAnsi="Poppins" w:cs="Poppins"/>
              </w:rPr>
              <w:t xml:space="preserve"> </w:t>
            </w:r>
          </w:p>
        </w:tc>
        <w:tc>
          <w:tcPr>
            <w:tcW w:w="4205" w:type="dxa"/>
            <w:shd w:val="clear" w:color="auto" w:fill="FFFFFF" w:themeFill="background1"/>
            <w:hideMark/>
          </w:tcPr>
          <w:p w14:paraId="6AC844DD" w14:textId="5ACB881C"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B277A1">
              <w:rPr>
                <w:rFonts w:ascii="Poppins" w:hAnsi="Poppins" w:cs="Poppins"/>
              </w:rPr>
              <w:t>A partnership was</w:t>
            </w:r>
            <w:r w:rsidR="00EC265A">
              <w:rPr>
                <w:rFonts w:ascii="Poppins" w:hAnsi="Poppins" w:cs="Poppins"/>
              </w:rPr>
              <w:t xml:space="preserve"> </w:t>
            </w:r>
            <w:r w:rsidRPr="00B277A1">
              <w:rPr>
                <w:rFonts w:ascii="Poppins" w:hAnsi="Poppins" w:cs="Poppins"/>
              </w:rPr>
              <w:t>established</w:t>
            </w:r>
            <w:r w:rsidR="00EC265A">
              <w:rPr>
                <w:rFonts w:ascii="Poppins" w:hAnsi="Poppins" w:cs="Poppins"/>
              </w:rPr>
              <w:t xml:space="preserve"> </w:t>
            </w:r>
            <w:r w:rsidRPr="00B277A1">
              <w:rPr>
                <w:rFonts w:ascii="Poppins" w:hAnsi="Poppins" w:cs="Poppins"/>
              </w:rPr>
              <w:t>with the then Mayor, Cr Anthony Marsh, with several meetings held between the parties. No further meetings were planned as of December 2025 and March 2026; however, the arrangement has now transitioned to an as-needed basis, with meetings to be organised upon request.</w:t>
            </w:r>
            <w:r w:rsidR="00EC265A">
              <w:rPr>
                <w:rFonts w:ascii="Poppins" w:hAnsi="Poppins" w:cs="Poppins"/>
              </w:rPr>
              <w:t xml:space="preserve"> </w:t>
            </w:r>
            <w:r w:rsidRPr="00B277A1">
              <w:rPr>
                <w:rFonts w:ascii="Poppins" w:hAnsi="Poppins" w:cs="Poppins"/>
              </w:rPr>
              <w:t>Accordingly, this action can be considered complete. </w:t>
            </w:r>
          </w:p>
        </w:tc>
        <w:tc>
          <w:tcPr>
            <w:tcW w:w="1050" w:type="dxa"/>
            <w:shd w:val="clear" w:color="auto" w:fill="D6EBC4" w:themeFill="accent1" w:themeFillTint="66"/>
          </w:tcPr>
          <w:p w14:paraId="6EF293F7" w14:textId="7288973C" w:rsidR="00A40338" w:rsidRPr="00B277A1" w:rsidRDefault="5CD43B4F" w:rsidP="00C63A5A">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Complete</w:t>
            </w:r>
          </w:p>
        </w:tc>
      </w:tr>
      <w:tr w:rsidR="00A40338" w:rsidRPr="006949AB" w14:paraId="5191B694" w14:textId="4577106C"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3DC6599D" w14:textId="77777777" w:rsidR="00A40338" w:rsidRPr="006949AB" w:rsidRDefault="00A40338" w:rsidP="00C63A5A">
            <w:pPr>
              <w:pStyle w:val="BodyText"/>
              <w:rPr>
                <w:rFonts w:ascii="Poppins" w:hAnsi="Poppins" w:cs="Poppins"/>
              </w:rPr>
            </w:pPr>
          </w:p>
        </w:tc>
        <w:tc>
          <w:tcPr>
            <w:tcW w:w="2213" w:type="dxa"/>
            <w:shd w:val="clear" w:color="auto" w:fill="auto"/>
            <w:hideMark/>
          </w:tcPr>
          <w:p w14:paraId="7D68A935" w14:textId="2F50E2C0"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 xml:space="preserve">1.5 </w:t>
            </w:r>
            <w:r w:rsidRPr="005504FF">
              <w:rPr>
                <w:rFonts w:ascii="Poppins" w:hAnsi="Poppins" w:cs="Poppins"/>
              </w:rPr>
              <w:t>Advance reconciliation through collaboration and partnership with Aboriginal and Torres Strait Islander Community Controlled Organisations and environmental and heritage networks. </w:t>
            </w:r>
          </w:p>
        </w:tc>
        <w:tc>
          <w:tcPr>
            <w:tcW w:w="4205" w:type="dxa"/>
            <w:shd w:val="clear" w:color="auto" w:fill="FFFFFF" w:themeFill="background1"/>
            <w:hideMark/>
          </w:tcPr>
          <w:p w14:paraId="569913E2" w14:textId="557A3888"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pPr>
            <w:r w:rsidRPr="139CF35B">
              <w:rPr>
                <w:rFonts w:ascii="Poppins" w:hAnsi="Poppins" w:cs="Poppins"/>
              </w:rPr>
              <w:t>As part of the development of the Engagement Framework, V</w:t>
            </w:r>
            <w:r w:rsidR="7C93BF73" w:rsidRPr="139CF35B">
              <w:rPr>
                <w:rFonts w:ascii="Poppins" w:hAnsi="Poppins" w:cs="Poppins"/>
              </w:rPr>
              <w:t>ictorian Aboriginal Child and Community Agency</w:t>
            </w:r>
            <w:r w:rsidRPr="139CF35B">
              <w:rPr>
                <w:rFonts w:ascii="Poppins" w:hAnsi="Poppins" w:cs="Poppins"/>
              </w:rPr>
              <w:t xml:space="preserve"> has been engaged as the closest Aboriginal Community Controlled Organisation to provide input into how the Shire collaborates and engages with First Nations communities.</w:t>
            </w:r>
          </w:p>
          <w:p w14:paraId="60F5D24D" w14:textId="0C496B2F"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5504FF">
              <w:rPr>
                <w:rFonts w:ascii="Poppins" w:hAnsi="Poppins" w:cs="Poppins"/>
              </w:rPr>
              <w:t>The Briars</w:t>
            </w:r>
            <w:r w:rsidR="00EC265A">
              <w:rPr>
                <w:rFonts w:ascii="Poppins" w:hAnsi="Poppins" w:cs="Poppins"/>
              </w:rPr>
              <w:t xml:space="preserve"> </w:t>
            </w:r>
            <w:proofErr w:type="spellStart"/>
            <w:r w:rsidRPr="005504FF">
              <w:rPr>
                <w:rFonts w:ascii="Poppins" w:hAnsi="Poppins" w:cs="Poppins"/>
              </w:rPr>
              <w:t>Ngawak</w:t>
            </w:r>
            <w:proofErr w:type="spellEnd"/>
            <w:r w:rsidR="00EC265A">
              <w:rPr>
                <w:rFonts w:ascii="Poppins" w:hAnsi="Poppins" w:cs="Poppins"/>
              </w:rPr>
              <w:t xml:space="preserve"> </w:t>
            </w:r>
            <w:proofErr w:type="spellStart"/>
            <w:r w:rsidRPr="005504FF">
              <w:rPr>
                <w:rFonts w:ascii="Poppins" w:hAnsi="Poppins" w:cs="Poppins"/>
              </w:rPr>
              <w:t>Biik</w:t>
            </w:r>
            <w:proofErr w:type="spellEnd"/>
            <w:r w:rsidR="00EC265A">
              <w:rPr>
                <w:rFonts w:ascii="Poppins" w:hAnsi="Poppins" w:cs="Poppins"/>
              </w:rPr>
              <w:t xml:space="preserve"> </w:t>
            </w:r>
            <w:r w:rsidRPr="005504FF">
              <w:rPr>
                <w:rFonts w:ascii="Poppins" w:hAnsi="Poppins" w:cs="Poppins"/>
              </w:rPr>
              <w:t>Junior Ranger Program continues to deliver strong outcomes by connecting Koorie primary and secondary students to Country through cultural learning, land</w:t>
            </w:r>
            <w:r w:rsidR="00316086">
              <w:rPr>
                <w:rFonts w:ascii="Poppins" w:hAnsi="Poppins" w:cs="Poppins"/>
              </w:rPr>
              <w:t xml:space="preserve"> </w:t>
            </w:r>
            <w:r w:rsidRPr="005504FF">
              <w:rPr>
                <w:rFonts w:ascii="Poppins" w:hAnsi="Poppins" w:cs="Poppins"/>
              </w:rPr>
              <w:t>management</w:t>
            </w:r>
            <w:r w:rsidR="00316086">
              <w:rPr>
                <w:rFonts w:ascii="Poppins" w:hAnsi="Poppins" w:cs="Poppins"/>
              </w:rPr>
              <w:t xml:space="preserve"> </w:t>
            </w:r>
            <w:r w:rsidRPr="005504FF">
              <w:rPr>
                <w:rFonts w:ascii="Poppins" w:hAnsi="Poppins" w:cs="Poppins"/>
              </w:rPr>
              <w:t>and environmental stewardship. The program secured a further two years of federal funding in January 2026 and has received significant recognition, including a High Commendation in the 2026 Keep Australia Beautiful Tidy Town</w:t>
            </w:r>
            <w:r w:rsidR="00316086">
              <w:rPr>
                <w:rFonts w:ascii="Poppins" w:hAnsi="Poppins" w:cs="Poppins"/>
              </w:rPr>
              <w:t xml:space="preserve"> </w:t>
            </w:r>
            <w:r w:rsidRPr="005504FF">
              <w:rPr>
                <w:rFonts w:ascii="Poppins" w:hAnsi="Poppins" w:cs="Poppins"/>
              </w:rPr>
              <w:t>Awards and the</w:t>
            </w:r>
            <w:r w:rsidR="00316086">
              <w:rPr>
                <w:rFonts w:ascii="Poppins" w:hAnsi="Poppins" w:cs="Poppins"/>
              </w:rPr>
              <w:t xml:space="preserve"> </w:t>
            </w:r>
            <w:r w:rsidRPr="005504FF">
              <w:rPr>
                <w:rFonts w:ascii="Poppins" w:hAnsi="Poppins" w:cs="Poppins"/>
              </w:rPr>
              <w:t>LGPro</w:t>
            </w:r>
            <w:r w:rsidR="00316086">
              <w:rPr>
                <w:rFonts w:ascii="Poppins" w:hAnsi="Poppins" w:cs="Poppins"/>
              </w:rPr>
              <w:t xml:space="preserve"> </w:t>
            </w:r>
            <w:r w:rsidRPr="005504FF">
              <w:rPr>
                <w:rFonts w:ascii="Poppins" w:hAnsi="Poppins" w:cs="Poppins"/>
              </w:rPr>
              <w:t>Award for Excellence in the First Nations Community Partnership category. </w:t>
            </w:r>
          </w:p>
        </w:tc>
        <w:tc>
          <w:tcPr>
            <w:tcW w:w="1050" w:type="dxa"/>
            <w:shd w:val="clear" w:color="auto" w:fill="D6EBC4" w:themeFill="accent1" w:themeFillTint="66"/>
          </w:tcPr>
          <w:p w14:paraId="03BDCC1D" w14:textId="7364420C" w:rsidR="00A40338" w:rsidRPr="005504FF" w:rsidRDefault="5A0958C5" w:rsidP="00C63A5A">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r w:rsidR="00A40338" w:rsidRPr="006949AB" w14:paraId="1A1C2FC5" w14:textId="4E901DE4"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5701B5EF" w14:textId="77777777" w:rsidR="00A40338" w:rsidRPr="006949AB" w:rsidRDefault="00A40338" w:rsidP="00C63A5A">
            <w:pPr>
              <w:pStyle w:val="BodyText"/>
              <w:rPr>
                <w:rFonts w:ascii="Poppins" w:hAnsi="Poppins" w:cs="Poppins"/>
              </w:rPr>
            </w:pPr>
          </w:p>
        </w:tc>
        <w:tc>
          <w:tcPr>
            <w:tcW w:w="2213" w:type="dxa"/>
            <w:shd w:val="clear" w:color="auto" w:fill="auto"/>
          </w:tcPr>
          <w:p w14:paraId="77AD8835" w14:textId="031B5B5D"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1.6 </w:t>
            </w:r>
            <w:r w:rsidRPr="00D435BD">
              <w:rPr>
                <w:rFonts w:ascii="Poppins" w:hAnsi="Poppins" w:cs="Poppins"/>
              </w:rPr>
              <w:t>Facilitate quarterly meetings with the Bunurong Land Council to ensure the Shire’s projects and programs align with cultural heritage protocols.  </w:t>
            </w:r>
          </w:p>
        </w:tc>
        <w:tc>
          <w:tcPr>
            <w:tcW w:w="4205" w:type="dxa"/>
            <w:shd w:val="clear" w:color="auto" w:fill="FFFFFF" w:themeFill="background1"/>
          </w:tcPr>
          <w:p w14:paraId="574F5928" w14:textId="76524BD7" w:rsidR="00A40338" w:rsidRPr="005504FF"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139CF35B">
              <w:rPr>
                <w:rFonts w:ascii="Poppins" w:hAnsi="Poppins" w:cs="Poppins"/>
              </w:rPr>
              <w:t>Conversations are continuing with Glen Eira Council,</w:t>
            </w:r>
            <w:r w:rsidR="00C66DF9">
              <w:rPr>
                <w:rFonts w:ascii="Poppins" w:hAnsi="Poppins" w:cs="Poppins"/>
              </w:rPr>
              <w:t xml:space="preserve"> </w:t>
            </w:r>
            <w:r w:rsidRPr="139CF35B">
              <w:rPr>
                <w:rFonts w:ascii="Poppins" w:hAnsi="Poppins" w:cs="Poppins"/>
              </w:rPr>
              <w:t>Bayside City Council, Kingston</w:t>
            </w:r>
            <w:r w:rsidR="00C66DF9">
              <w:rPr>
                <w:rFonts w:ascii="Poppins" w:hAnsi="Poppins" w:cs="Poppins"/>
              </w:rPr>
              <w:t xml:space="preserve"> </w:t>
            </w:r>
            <w:r w:rsidRPr="139CF35B">
              <w:rPr>
                <w:rFonts w:ascii="Poppins" w:hAnsi="Poppins" w:cs="Poppins"/>
              </w:rPr>
              <w:t>City</w:t>
            </w:r>
            <w:r w:rsidR="00C66DF9">
              <w:rPr>
                <w:rFonts w:ascii="Poppins" w:hAnsi="Poppins" w:cs="Poppins"/>
              </w:rPr>
              <w:t xml:space="preserve"> </w:t>
            </w:r>
            <w:r w:rsidRPr="139CF35B">
              <w:rPr>
                <w:rFonts w:ascii="Poppins" w:hAnsi="Poppins" w:cs="Poppins"/>
              </w:rPr>
              <w:t>Council</w:t>
            </w:r>
            <w:r w:rsidR="00C66DF9">
              <w:rPr>
                <w:rFonts w:ascii="Poppins" w:hAnsi="Poppins" w:cs="Poppins"/>
              </w:rPr>
              <w:t xml:space="preserve"> </w:t>
            </w:r>
            <w:r w:rsidRPr="139CF35B">
              <w:rPr>
                <w:rFonts w:ascii="Poppins" w:hAnsi="Poppins" w:cs="Poppins"/>
              </w:rPr>
              <w:t>and Frankston City Council to propose meeting quarterly with the Bunurong</w:t>
            </w:r>
            <w:r w:rsidR="00C66DF9">
              <w:rPr>
                <w:rFonts w:ascii="Poppins" w:hAnsi="Poppins" w:cs="Poppins"/>
              </w:rPr>
              <w:t xml:space="preserve"> </w:t>
            </w:r>
            <w:r w:rsidRPr="139CF35B">
              <w:rPr>
                <w:rFonts w:ascii="Poppins" w:hAnsi="Poppins" w:cs="Poppins"/>
              </w:rPr>
              <w:t>Land Council as one group instead of 5</w:t>
            </w:r>
            <w:r w:rsidR="00C66DF9">
              <w:rPr>
                <w:rFonts w:ascii="Poppins" w:hAnsi="Poppins" w:cs="Poppins"/>
              </w:rPr>
              <w:t xml:space="preserve"> </w:t>
            </w:r>
            <w:r w:rsidRPr="139CF35B">
              <w:rPr>
                <w:rFonts w:ascii="Poppins" w:hAnsi="Poppins" w:cs="Poppins"/>
              </w:rPr>
              <w:t>different groups</w:t>
            </w:r>
            <w:r w:rsidR="2F4E2BEA" w:rsidRPr="139CF35B">
              <w:rPr>
                <w:rFonts w:ascii="Poppins" w:hAnsi="Poppins" w:cs="Poppins"/>
              </w:rPr>
              <w:t xml:space="preserve"> to support the Bunurong Land Council with limited capacity to support each </w:t>
            </w:r>
            <w:r w:rsidR="4DD0888B" w:rsidRPr="139CF35B">
              <w:rPr>
                <w:rFonts w:ascii="Poppins" w:hAnsi="Poppins" w:cs="Poppins"/>
              </w:rPr>
              <w:t xml:space="preserve">Council </w:t>
            </w:r>
            <w:r w:rsidR="7AEDD3DF" w:rsidRPr="139CF35B">
              <w:rPr>
                <w:rFonts w:ascii="Poppins" w:hAnsi="Poppins" w:cs="Poppins"/>
              </w:rPr>
              <w:t>individually</w:t>
            </w:r>
            <w:r w:rsidRPr="139CF35B">
              <w:rPr>
                <w:rFonts w:ascii="Poppins" w:hAnsi="Poppins" w:cs="Poppins"/>
              </w:rPr>
              <w:t>. A draft is currently being finalised and will be sent to the Land Council to</w:t>
            </w:r>
            <w:r w:rsidR="00C66DF9">
              <w:rPr>
                <w:rFonts w:ascii="Poppins" w:hAnsi="Poppins" w:cs="Poppins"/>
              </w:rPr>
              <w:t xml:space="preserve"> </w:t>
            </w:r>
            <w:r w:rsidRPr="139CF35B">
              <w:rPr>
                <w:rFonts w:ascii="Poppins" w:hAnsi="Poppins" w:cs="Poppins"/>
              </w:rPr>
              <w:t>ascertain</w:t>
            </w:r>
            <w:r w:rsidR="00C66DF9">
              <w:rPr>
                <w:rFonts w:ascii="Poppins" w:hAnsi="Poppins" w:cs="Poppins"/>
              </w:rPr>
              <w:t xml:space="preserve"> </w:t>
            </w:r>
            <w:r w:rsidRPr="139CF35B">
              <w:rPr>
                <w:rFonts w:ascii="Poppins" w:hAnsi="Poppins" w:cs="Poppins"/>
              </w:rPr>
              <w:t>their interest</w:t>
            </w:r>
            <w:r w:rsidR="00C66DF9">
              <w:rPr>
                <w:rFonts w:ascii="Poppins" w:hAnsi="Poppins" w:cs="Poppins"/>
              </w:rPr>
              <w:t xml:space="preserve"> </w:t>
            </w:r>
            <w:r w:rsidRPr="139CF35B">
              <w:rPr>
                <w:rFonts w:ascii="Poppins" w:hAnsi="Poppins" w:cs="Poppins"/>
              </w:rPr>
              <w:t>in this approach.</w:t>
            </w:r>
          </w:p>
        </w:tc>
        <w:tc>
          <w:tcPr>
            <w:tcW w:w="1050" w:type="dxa"/>
            <w:shd w:val="clear" w:color="auto" w:fill="D6EBC4" w:themeFill="accent1" w:themeFillTint="66"/>
          </w:tcPr>
          <w:p w14:paraId="09D7A160" w14:textId="08E65994" w:rsidR="00A40338" w:rsidRPr="00D435BD" w:rsidRDefault="29DD4950" w:rsidP="00C63A5A">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 track</w:t>
            </w:r>
          </w:p>
        </w:tc>
      </w:tr>
      <w:tr w:rsidR="00A40338" w:rsidRPr="006949AB" w14:paraId="78B5D4BC" w14:textId="1967FD45"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5F117E10" w14:textId="77777777" w:rsidR="00A40338" w:rsidRPr="006949AB" w:rsidRDefault="00A40338" w:rsidP="00C63A5A">
            <w:pPr>
              <w:pStyle w:val="BodyText"/>
              <w:rPr>
                <w:rFonts w:ascii="Poppins" w:hAnsi="Poppins" w:cs="Poppins"/>
              </w:rPr>
            </w:pPr>
          </w:p>
        </w:tc>
        <w:tc>
          <w:tcPr>
            <w:tcW w:w="2213" w:type="dxa"/>
            <w:shd w:val="clear" w:color="auto" w:fill="auto"/>
          </w:tcPr>
          <w:p w14:paraId="3D1E16F6" w14:textId="61EE083C"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1.7 </w:t>
            </w:r>
            <w:r w:rsidRPr="00D435BD">
              <w:rPr>
                <w:rFonts w:ascii="Poppins" w:hAnsi="Poppins" w:cs="Poppins"/>
              </w:rPr>
              <w:t>Collaborate with the Bunurong Land Council to maintain the management of cultural spaces and systems. </w:t>
            </w:r>
          </w:p>
        </w:tc>
        <w:tc>
          <w:tcPr>
            <w:tcW w:w="4205" w:type="dxa"/>
            <w:shd w:val="clear" w:color="auto" w:fill="FFFFFF" w:themeFill="background1"/>
          </w:tcPr>
          <w:p w14:paraId="24C07F11" w14:textId="4C8B6068" w:rsidR="00A40338" w:rsidRPr="00271D14" w:rsidRDefault="00A40338" w:rsidP="00271D1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lang w:val="en-US"/>
              </w:rPr>
            </w:pPr>
            <w:r w:rsidRPr="00271D14">
              <w:rPr>
                <w:rFonts w:ascii="Poppins" w:hAnsi="Poppins" w:cs="Poppins"/>
              </w:rPr>
              <w:t>The Shire has engaged with BLC to discuss a future project for public art at Point Nepean.</w:t>
            </w:r>
            <w:r w:rsidR="005D405E">
              <w:rPr>
                <w:rFonts w:ascii="Poppins" w:hAnsi="Poppins" w:cs="Poppins"/>
              </w:rPr>
              <w:t xml:space="preserve"> </w:t>
            </w:r>
            <w:r w:rsidRPr="00271D14">
              <w:rPr>
                <w:rFonts w:ascii="Poppins" w:hAnsi="Poppins" w:cs="Poppins"/>
              </w:rPr>
              <w:t>These discussions are ongoing and will then be subject to funding.</w:t>
            </w:r>
            <w:r w:rsidRPr="00271D14">
              <w:rPr>
                <w:rFonts w:ascii="Poppins" w:hAnsi="Poppins" w:cs="Poppins"/>
                <w:lang w:val="en-US"/>
              </w:rPr>
              <w:t> </w:t>
            </w:r>
          </w:p>
          <w:p w14:paraId="07D76B7F" w14:textId="1D40BFC5" w:rsidR="00A40338" w:rsidRPr="00271D14" w:rsidRDefault="00A40338" w:rsidP="00271D1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lang w:val="en-US"/>
              </w:rPr>
            </w:pPr>
            <w:r w:rsidRPr="139CF35B">
              <w:rPr>
                <w:rFonts w:ascii="Poppins" w:hAnsi="Poppins" w:cs="Poppins"/>
              </w:rPr>
              <w:t xml:space="preserve">The Junior Ranger Program </w:t>
            </w:r>
            <w:r w:rsidR="005D405E">
              <w:rPr>
                <w:rFonts w:ascii="Poppins" w:hAnsi="Poppins" w:cs="Poppins"/>
              </w:rPr>
              <w:t xml:space="preserve">– </w:t>
            </w:r>
            <w:proofErr w:type="spellStart"/>
            <w:r w:rsidRPr="139CF35B">
              <w:rPr>
                <w:rFonts w:ascii="Poppins" w:hAnsi="Poppins" w:cs="Poppins"/>
              </w:rPr>
              <w:t>Ngawak</w:t>
            </w:r>
            <w:proofErr w:type="spellEnd"/>
            <w:r w:rsidR="005D405E">
              <w:rPr>
                <w:rFonts w:ascii="Poppins" w:hAnsi="Poppins" w:cs="Poppins"/>
              </w:rPr>
              <w:t xml:space="preserve"> </w:t>
            </w:r>
            <w:proofErr w:type="spellStart"/>
            <w:r w:rsidRPr="139CF35B">
              <w:rPr>
                <w:rFonts w:ascii="Poppins" w:hAnsi="Poppins" w:cs="Poppins"/>
              </w:rPr>
              <w:t>Biik</w:t>
            </w:r>
            <w:proofErr w:type="spellEnd"/>
            <w:r w:rsidR="005D405E">
              <w:rPr>
                <w:rFonts w:ascii="Poppins" w:hAnsi="Poppins" w:cs="Poppins"/>
              </w:rPr>
              <w:t xml:space="preserve"> </w:t>
            </w:r>
            <w:r w:rsidRPr="139CF35B">
              <w:rPr>
                <w:rFonts w:ascii="Poppins" w:hAnsi="Poppins" w:cs="Poppins"/>
              </w:rPr>
              <w:t>– is a culturally led program connecting First Nations young people to Country through cultural and school-based learning held at the Briars and Police Point.</w:t>
            </w:r>
            <w:r w:rsidR="005D405E">
              <w:rPr>
                <w:rFonts w:ascii="Poppins" w:hAnsi="Poppins" w:cs="Poppins"/>
              </w:rPr>
              <w:t xml:space="preserve"> </w:t>
            </w:r>
            <w:r w:rsidRPr="139CF35B">
              <w:rPr>
                <w:rFonts w:ascii="Poppins" w:hAnsi="Poppins" w:cs="Poppins"/>
              </w:rPr>
              <w:t xml:space="preserve">With over 200 </w:t>
            </w:r>
            <w:r w:rsidRPr="139CF35B">
              <w:rPr>
                <w:rFonts w:ascii="Poppins" w:hAnsi="Poppins" w:cs="Poppins"/>
              </w:rPr>
              <w:lastRenderedPageBreak/>
              <w:t>students, this N</w:t>
            </w:r>
            <w:r w:rsidR="24A26779" w:rsidRPr="139CF35B">
              <w:rPr>
                <w:rFonts w:ascii="Poppins" w:hAnsi="Poppins" w:cs="Poppins"/>
              </w:rPr>
              <w:t xml:space="preserve">ational Indigenous Advancement Strategy </w:t>
            </w:r>
            <w:r w:rsidRPr="139CF35B">
              <w:rPr>
                <w:rFonts w:ascii="Poppins" w:hAnsi="Poppins" w:cs="Poppins"/>
              </w:rPr>
              <w:t>funded program supports pathways for the Peninsula's First Nations students.</w:t>
            </w:r>
            <w:r w:rsidR="005D405E">
              <w:rPr>
                <w:rFonts w:ascii="Poppins" w:hAnsi="Poppins" w:cs="Poppins"/>
              </w:rPr>
              <w:t xml:space="preserve"> </w:t>
            </w:r>
            <w:r w:rsidRPr="139CF35B">
              <w:rPr>
                <w:rFonts w:ascii="Poppins" w:hAnsi="Poppins" w:cs="Poppins"/>
              </w:rPr>
              <w:t xml:space="preserve">The BLC is the main partner to this program and they attend every program. </w:t>
            </w:r>
            <w:proofErr w:type="spellStart"/>
            <w:r w:rsidRPr="139CF35B">
              <w:rPr>
                <w:rFonts w:ascii="Poppins" w:hAnsi="Poppins" w:cs="Poppins"/>
              </w:rPr>
              <w:t>Ngawak</w:t>
            </w:r>
            <w:proofErr w:type="spellEnd"/>
            <w:r w:rsidRPr="139CF35B">
              <w:rPr>
                <w:rFonts w:ascii="Poppins" w:hAnsi="Poppins" w:cs="Poppins"/>
              </w:rPr>
              <w:t xml:space="preserve"> </w:t>
            </w:r>
            <w:proofErr w:type="spellStart"/>
            <w:r w:rsidRPr="139CF35B">
              <w:rPr>
                <w:rFonts w:ascii="Poppins" w:hAnsi="Poppins" w:cs="Poppins"/>
              </w:rPr>
              <w:t>Biik</w:t>
            </w:r>
            <w:proofErr w:type="spellEnd"/>
            <w:r w:rsidRPr="139CF35B">
              <w:rPr>
                <w:rFonts w:ascii="Poppins" w:hAnsi="Poppins" w:cs="Poppins"/>
              </w:rPr>
              <w:t xml:space="preserve"> was recognised as the winner – First Nations Community Partnership at the 2026 Local Government Professionals (LGPro) Awards for Excellence.</w:t>
            </w:r>
            <w:r w:rsidRPr="139CF35B">
              <w:rPr>
                <w:rFonts w:ascii="Poppins" w:hAnsi="Poppins" w:cs="Poppins"/>
                <w:lang w:val="en-US"/>
              </w:rPr>
              <w:t> </w:t>
            </w:r>
          </w:p>
          <w:p w14:paraId="6E43A314" w14:textId="77777777" w:rsidR="00A40338" w:rsidRPr="00271D14" w:rsidRDefault="00A40338" w:rsidP="00271D1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lang w:val="en-US"/>
              </w:rPr>
            </w:pPr>
            <w:r w:rsidRPr="00271D14">
              <w:rPr>
                <w:rFonts w:ascii="Poppins" w:hAnsi="Poppins" w:cs="Poppins"/>
              </w:rPr>
              <w:t>The Shire Nursery at the Briars partners with BLC by safeguarding special plants.</w:t>
            </w:r>
            <w:r w:rsidRPr="00271D14">
              <w:rPr>
                <w:rFonts w:ascii="Poppins" w:hAnsi="Poppins" w:cs="Poppins"/>
                <w:lang w:val="en-US"/>
              </w:rPr>
              <w:t> </w:t>
            </w:r>
          </w:p>
          <w:p w14:paraId="4663AB77" w14:textId="2AB26BD5" w:rsidR="00A40338" w:rsidRPr="00271D14"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lang w:val="en-US"/>
              </w:rPr>
            </w:pPr>
            <w:r w:rsidRPr="00271D14">
              <w:rPr>
                <w:rFonts w:ascii="Poppins" w:hAnsi="Poppins" w:cs="Poppins"/>
              </w:rPr>
              <w:t>The Briars has also integrated First Nations language on new signage in the Wildlife Sanctuary expansion with the significant support of the BLC.</w:t>
            </w:r>
            <w:r w:rsidRPr="00271D14">
              <w:rPr>
                <w:rFonts w:ascii="Poppins" w:hAnsi="Poppins" w:cs="Poppins"/>
                <w:lang w:val="en-US"/>
              </w:rPr>
              <w:t> </w:t>
            </w:r>
          </w:p>
        </w:tc>
        <w:tc>
          <w:tcPr>
            <w:tcW w:w="1050" w:type="dxa"/>
            <w:shd w:val="clear" w:color="auto" w:fill="D6EBC4" w:themeFill="accent1" w:themeFillTint="66"/>
          </w:tcPr>
          <w:p w14:paraId="456C0659" w14:textId="61BEA575" w:rsidR="00A40338" w:rsidRPr="00271D14" w:rsidRDefault="59E6B129" w:rsidP="00271D14">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lastRenderedPageBreak/>
              <w:t>On track</w:t>
            </w:r>
          </w:p>
        </w:tc>
      </w:tr>
      <w:tr w:rsidR="00A40338" w:rsidRPr="006949AB" w14:paraId="2DEBDB51" w14:textId="02F13837"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0A1EF300" w14:textId="77777777" w:rsidR="00A40338" w:rsidRPr="006949AB" w:rsidRDefault="00A40338" w:rsidP="00C63A5A">
            <w:pPr>
              <w:pStyle w:val="BodyText"/>
              <w:rPr>
                <w:rFonts w:ascii="Poppins" w:hAnsi="Poppins" w:cs="Poppins"/>
              </w:rPr>
            </w:pPr>
          </w:p>
        </w:tc>
        <w:tc>
          <w:tcPr>
            <w:tcW w:w="2213" w:type="dxa"/>
            <w:shd w:val="clear" w:color="auto" w:fill="auto"/>
          </w:tcPr>
          <w:p w14:paraId="605CF06F" w14:textId="710B8A96"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1.8 </w:t>
            </w:r>
            <w:r w:rsidRPr="001634E1">
              <w:rPr>
                <w:rFonts w:ascii="Poppins" w:hAnsi="Poppins" w:cs="Poppins"/>
              </w:rPr>
              <w:t>Establish and</w:t>
            </w:r>
            <w:r w:rsidR="00B75F83">
              <w:rPr>
                <w:rFonts w:ascii="Poppins" w:hAnsi="Poppins" w:cs="Poppins"/>
              </w:rPr>
              <w:t xml:space="preserve"> </w:t>
            </w:r>
            <w:r w:rsidRPr="001634E1">
              <w:rPr>
                <w:rFonts w:ascii="Poppins" w:hAnsi="Poppins" w:cs="Poppins"/>
              </w:rPr>
              <w:t>facilitate</w:t>
            </w:r>
            <w:r w:rsidR="00B75F83">
              <w:rPr>
                <w:rFonts w:ascii="Poppins" w:hAnsi="Poppins" w:cs="Poppins"/>
              </w:rPr>
              <w:t xml:space="preserve"> </w:t>
            </w:r>
            <w:r w:rsidRPr="001634E1">
              <w:rPr>
                <w:rFonts w:ascii="Poppins" w:hAnsi="Poppins" w:cs="Poppins"/>
              </w:rPr>
              <w:t>biannual meetings with the Bunurong Land Council. I.e. Caring for Country </w:t>
            </w:r>
          </w:p>
        </w:tc>
        <w:tc>
          <w:tcPr>
            <w:tcW w:w="4205" w:type="dxa"/>
            <w:shd w:val="clear" w:color="auto" w:fill="FFFFFF" w:themeFill="background1"/>
          </w:tcPr>
          <w:p w14:paraId="6880BD52" w14:textId="77828BD3" w:rsidR="00A40338" w:rsidRPr="005504FF" w:rsidRDefault="25394035"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676337C4">
              <w:rPr>
                <w:rFonts w:ascii="Poppins" w:hAnsi="Poppins" w:cs="Poppins"/>
              </w:rPr>
              <w:t>The Shire has strengthened its partnership with Bunurong</w:t>
            </w:r>
            <w:r w:rsidR="00BE101A">
              <w:rPr>
                <w:rFonts w:ascii="Poppins" w:hAnsi="Poppins" w:cs="Poppins"/>
              </w:rPr>
              <w:t xml:space="preserve"> </w:t>
            </w:r>
            <w:r w:rsidRPr="676337C4">
              <w:rPr>
                <w:rFonts w:ascii="Poppins" w:hAnsi="Poppins" w:cs="Poppins"/>
              </w:rPr>
              <w:t>Land Council’s</w:t>
            </w:r>
            <w:r w:rsidR="00BE101A">
              <w:rPr>
                <w:rFonts w:ascii="Poppins" w:hAnsi="Poppins" w:cs="Poppins"/>
              </w:rPr>
              <w:t xml:space="preserve"> </w:t>
            </w:r>
            <w:r w:rsidRPr="676337C4">
              <w:rPr>
                <w:rFonts w:ascii="Poppins" w:hAnsi="Poppins" w:cs="Poppins"/>
              </w:rPr>
              <w:t>Strong Country</w:t>
            </w:r>
            <w:r w:rsidR="00BE101A">
              <w:rPr>
                <w:rFonts w:ascii="Poppins" w:hAnsi="Poppins" w:cs="Poppins"/>
              </w:rPr>
              <w:t xml:space="preserve"> </w:t>
            </w:r>
            <w:r w:rsidRPr="676337C4">
              <w:rPr>
                <w:rFonts w:ascii="Poppins" w:hAnsi="Poppins" w:cs="Poppins"/>
              </w:rPr>
              <w:t>team</w:t>
            </w:r>
            <w:r w:rsidR="00BE101A">
              <w:rPr>
                <w:rFonts w:ascii="Poppins" w:hAnsi="Poppins" w:cs="Poppins"/>
              </w:rPr>
              <w:t xml:space="preserve"> </w:t>
            </w:r>
            <w:r w:rsidRPr="676337C4">
              <w:rPr>
                <w:rFonts w:ascii="Poppins" w:hAnsi="Poppins" w:cs="Poppins"/>
              </w:rPr>
              <w:t xml:space="preserve">through funded conservation and cultural land management projects, including annual </w:t>
            </w:r>
            <w:r w:rsidR="6E15471C" w:rsidRPr="676337C4">
              <w:rPr>
                <w:rFonts w:ascii="Poppins" w:hAnsi="Poppins" w:cs="Poppins"/>
              </w:rPr>
              <w:t xml:space="preserve">biodiversity </w:t>
            </w:r>
            <w:r w:rsidRPr="676337C4">
              <w:rPr>
                <w:rFonts w:ascii="Poppins" w:hAnsi="Poppins" w:cs="Poppins"/>
              </w:rPr>
              <w:t xml:space="preserve">funding of $30,000 </w:t>
            </w:r>
            <w:r w:rsidR="513AFD9B" w:rsidRPr="676337C4">
              <w:rPr>
                <w:rFonts w:ascii="Poppins" w:hAnsi="Poppins" w:cs="Poppins"/>
              </w:rPr>
              <w:t xml:space="preserve">from the State Government’s </w:t>
            </w:r>
            <w:r w:rsidR="0A4BE0FD" w:rsidRPr="676337C4">
              <w:rPr>
                <w:i/>
                <w:iCs/>
              </w:rPr>
              <w:t>Peri-urban Weed management Partnerships</w:t>
            </w:r>
            <w:r w:rsidR="0A4BE0FD">
              <w:t xml:space="preserve"> </w:t>
            </w:r>
            <w:r w:rsidR="7329DD4E">
              <w:t>program</w:t>
            </w:r>
            <w:r w:rsidR="0A4BE0FD">
              <w:t xml:space="preserve"> </w:t>
            </w:r>
            <w:r w:rsidRPr="676337C4">
              <w:rPr>
                <w:rFonts w:ascii="Poppins" w:hAnsi="Poppins" w:cs="Poppins"/>
              </w:rPr>
              <w:t>for biodiversity works at Williams Road Beach and Woods Bushland Reserve, and a further $25,000 investment in</w:t>
            </w:r>
            <w:r w:rsidR="169F16A7" w:rsidRPr="676337C4">
              <w:rPr>
                <w:rFonts w:ascii="Poppins" w:hAnsi="Poppins" w:cs="Poppins"/>
              </w:rPr>
              <w:t xml:space="preserve"> </w:t>
            </w:r>
            <w:r w:rsidR="169F16A7" w:rsidRPr="676337C4">
              <w:t>cultural land management projects through engaging Bunurong Land Council Strong County Team to deliver biodiversity and cultural related conservation work in areas of cultural significance on shire managed land</w:t>
            </w:r>
            <w:r w:rsidRPr="676337C4">
              <w:rPr>
                <w:rFonts w:ascii="Poppins" w:hAnsi="Poppins" w:cs="Poppins"/>
              </w:rPr>
              <w:t xml:space="preserve"> at Blacks Camp, Fingal. Although a planned cultural burn at Purves Road, Arthurs Seat was not undertaken, the process</w:t>
            </w:r>
            <w:r w:rsidR="005174D7">
              <w:rPr>
                <w:rFonts w:ascii="Poppins" w:hAnsi="Poppins" w:cs="Poppins"/>
              </w:rPr>
              <w:t xml:space="preserve"> </w:t>
            </w:r>
            <w:r w:rsidRPr="676337C4">
              <w:rPr>
                <w:rFonts w:ascii="Poppins" w:hAnsi="Poppins" w:cs="Poppins"/>
              </w:rPr>
              <w:t>established</w:t>
            </w:r>
            <w:r w:rsidR="005174D7">
              <w:rPr>
                <w:rFonts w:ascii="Poppins" w:hAnsi="Poppins" w:cs="Poppins"/>
              </w:rPr>
              <w:t xml:space="preserve"> </w:t>
            </w:r>
            <w:r w:rsidRPr="676337C4">
              <w:rPr>
                <w:rFonts w:ascii="Poppins" w:hAnsi="Poppins" w:cs="Poppins"/>
              </w:rPr>
              <w:t>a strong working relationship and clear framework for future cultural burning on Shire-managed land. The Shire also supported the Australian National University and Bunurong Land Council Archaeological Field School excavation at Cape Schanck in February 2026, further strengthening collaborative partnerships and cultural knowledge-sharing opportunities. </w:t>
            </w:r>
          </w:p>
        </w:tc>
        <w:tc>
          <w:tcPr>
            <w:tcW w:w="1050" w:type="dxa"/>
            <w:shd w:val="clear" w:color="auto" w:fill="D6EBC4" w:themeFill="accent1" w:themeFillTint="66"/>
          </w:tcPr>
          <w:p w14:paraId="7B0639CB" w14:textId="4E11ED88" w:rsidR="00A40338" w:rsidRPr="001634E1" w:rsidRDefault="00D02BC3"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w:t>
            </w:r>
            <w:r w:rsidRPr="00D02BC3">
              <w:rPr>
                <w:rFonts w:ascii="Poppins" w:hAnsi="Poppins" w:cs="Poppins"/>
                <w:shd w:val="clear" w:color="auto" w:fill="D6EBC4" w:themeFill="accent1" w:themeFillTint="66"/>
              </w:rPr>
              <w:t>g</w:t>
            </w:r>
            <w:r>
              <w:rPr>
                <w:rFonts w:ascii="Poppins" w:hAnsi="Poppins" w:cs="Poppins"/>
              </w:rPr>
              <w:t>oing</w:t>
            </w:r>
          </w:p>
        </w:tc>
      </w:tr>
      <w:tr w:rsidR="00A40338" w:rsidRPr="006949AB" w14:paraId="66FB329E" w14:textId="004410CF"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val="restart"/>
            <w:shd w:val="clear" w:color="auto" w:fill="auto"/>
            <w:hideMark/>
          </w:tcPr>
          <w:p w14:paraId="5E16271A" w14:textId="2A5BACA6" w:rsidR="00A40338" w:rsidRPr="006949AB" w:rsidRDefault="00A40338" w:rsidP="00C63A5A">
            <w:pPr>
              <w:pStyle w:val="BodyText"/>
              <w:rPr>
                <w:rFonts w:ascii="Poppins" w:hAnsi="Poppins" w:cs="Poppins"/>
              </w:rPr>
            </w:pPr>
            <w:r w:rsidRPr="006949AB">
              <w:rPr>
                <w:rFonts w:ascii="Poppins" w:hAnsi="Poppins" w:cs="Poppins"/>
              </w:rPr>
              <w:t xml:space="preserve">2 </w:t>
            </w:r>
            <w:r w:rsidRPr="00417B22">
              <w:rPr>
                <w:rFonts w:ascii="Poppins" w:hAnsi="Poppins" w:cs="Poppins"/>
              </w:rPr>
              <w:t>Build relationships through celebrating National Reconciliation Week (NRW). </w:t>
            </w:r>
          </w:p>
        </w:tc>
        <w:tc>
          <w:tcPr>
            <w:tcW w:w="2213" w:type="dxa"/>
            <w:shd w:val="clear" w:color="auto" w:fill="auto"/>
            <w:hideMark/>
          </w:tcPr>
          <w:p w14:paraId="12E6FA66" w14:textId="724BE56A"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2.1</w:t>
            </w:r>
            <w:r>
              <w:rPr>
                <w:rFonts w:ascii="Poppins" w:hAnsi="Poppins" w:cs="Poppins"/>
              </w:rPr>
              <w:t xml:space="preserve"> </w:t>
            </w:r>
            <w:r w:rsidRPr="00417B22">
              <w:rPr>
                <w:rFonts w:ascii="Poppins" w:hAnsi="Poppins" w:cs="Poppins"/>
              </w:rPr>
              <w:t>Circulate Reconciliation Australia’s NRW resources and reconciliation materials to our staff. </w:t>
            </w:r>
          </w:p>
        </w:tc>
        <w:tc>
          <w:tcPr>
            <w:tcW w:w="4205" w:type="dxa"/>
            <w:shd w:val="clear" w:color="auto" w:fill="FFFFFF" w:themeFill="background1"/>
            <w:hideMark/>
          </w:tcPr>
          <w:p w14:paraId="7EB453AE" w14:textId="58B527F5"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417B22">
              <w:rPr>
                <w:rFonts w:ascii="Poppins" w:hAnsi="Poppins" w:cs="Poppins"/>
              </w:rPr>
              <w:t>As</w:t>
            </w:r>
            <w:r w:rsidR="005174D7">
              <w:rPr>
                <w:rFonts w:ascii="Poppins" w:hAnsi="Poppins" w:cs="Poppins"/>
              </w:rPr>
              <w:t xml:space="preserve"> </w:t>
            </w:r>
            <w:r w:rsidRPr="00417B22">
              <w:rPr>
                <w:rFonts w:ascii="Poppins" w:hAnsi="Poppins" w:cs="Poppins"/>
              </w:rPr>
              <w:t>a</w:t>
            </w:r>
            <w:r>
              <w:rPr>
                <w:rFonts w:ascii="Poppins" w:hAnsi="Poppins" w:cs="Poppins"/>
              </w:rPr>
              <w:t xml:space="preserve"> </w:t>
            </w:r>
            <w:r w:rsidRPr="00417B22">
              <w:rPr>
                <w:rFonts w:ascii="Poppins" w:hAnsi="Poppins" w:cs="Poppins"/>
              </w:rPr>
              <w:t>part</w:t>
            </w:r>
            <w:r w:rsidR="005174D7">
              <w:rPr>
                <w:rFonts w:ascii="Poppins" w:hAnsi="Poppins" w:cs="Poppins"/>
              </w:rPr>
              <w:t xml:space="preserve"> </w:t>
            </w:r>
            <w:r w:rsidRPr="00417B22">
              <w:rPr>
                <w:rFonts w:ascii="Poppins" w:hAnsi="Poppins" w:cs="Poppins"/>
              </w:rPr>
              <w:t>of National Reconciliation Week, the</w:t>
            </w:r>
            <w:r w:rsidR="005174D7">
              <w:rPr>
                <w:rFonts w:ascii="Poppins" w:hAnsi="Poppins" w:cs="Poppins"/>
              </w:rPr>
              <w:t xml:space="preserve"> </w:t>
            </w:r>
            <w:r>
              <w:rPr>
                <w:rFonts w:ascii="Poppins" w:hAnsi="Poppins" w:cs="Poppins"/>
              </w:rPr>
              <w:t>First Nations</w:t>
            </w:r>
            <w:r w:rsidRPr="00417B22">
              <w:rPr>
                <w:rFonts w:ascii="Poppins" w:hAnsi="Poppins" w:cs="Poppins"/>
              </w:rPr>
              <w:t xml:space="preserve"> Officer shared and circulated</w:t>
            </w:r>
            <w:r w:rsidR="005174D7">
              <w:rPr>
                <w:rFonts w:ascii="Poppins" w:hAnsi="Poppins" w:cs="Poppins"/>
              </w:rPr>
              <w:t xml:space="preserve"> </w:t>
            </w:r>
            <w:r w:rsidRPr="00417B22">
              <w:rPr>
                <w:rFonts w:ascii="Poppins" w:hAnsi="Poppins" w:cs="Poppins"/>
              </w:rPr>
              <w:t>NRW resources and reconciliation materials to</w:t>
            </w:r>
            <w:r w:rsidR="005174D7">
              <w:rPr>
                <w:rFonts w:ascii="Poppins" w:hAnsi="Poppins" w:cs="Poppins"/>
              </w:rPr>
              <w:t xml:space="preserve"> </w:t>
            </w:r>
            <w:r w:rsidRPr="00417B22">
              <w:rPr>
                <w:rFonts w:ascii="Poppins" w:hAnsi="Poppins" w:cs="Poppins"/>
              </w:rPr>
              <w:t>staff via a variety of internal communications</w:t>
            </w:r>
            <w:r w:rsidR="005174D7">
              <w:rPr>
                <w:rFonts w:ascii="Poppins" w:hAnsi="Poppins" w:cs="Poppins"/>
              </w:rPr>
              <w:t xml:space="preserve"> </w:t>
            </w:r>
            <w:r w:rsidRPr="00417B22">
              <w:rPr>
                <w:rFonts w:ascii="Poppins" w:hAnsi="Poppins" w:cs="Poppins"/>
              </w:rPr>
              <w:t>and through the RAP Working Group.</w:t>
            </w:r>
          </w:p>
        </w:tc>
        <w:tc>
          <w:tcPr>
            <w:tcW w:w="1050" w:type="dxa"/>
            <w:shd w:val="clear" w:color="auto" w:fill="D6EBC4" w:themeFill="accent1" w:themeFillTint="66"/>
          </w:tcPr>
          <w:p w14:paraId="4E458288" w14:textId="54C0BFBF" w:rsidR="00A40338" w:rsidRPr="00417B22" w:rsidRDefault="00D02BC3"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A40338" w:rsidRPr="006949AB" w14:paraId="6DF88A3C" w14:textId="669D4585"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4DD1D3B4" w14:textId="77777777" w:rsidR="00A40338" w:rsidRPr="006949AB" w:rsidRDefault="00A40338" w:rsidP="00C63A5A">
            <w:pPr>
              <w:pStyle w:val="BodyText"/>
              <w:rPr>
                <w:rFonts w:ascii="Poppins" w:hAnsi="Poppins" w:cs="Poppins"/>
              </w:rPr>
            </w:pPr>
          </w:p>
        </w:tc>
        <w:tc>
          <w:tcPr>
            <w:tcW w:w="2213" w:type="dxa"/>
            <w:tcBorders>
              <w:bottom w:val="single" w:sz="4" w:space="0" w:color="auto"/>
            </w:tcBorders>
            <w:shd w:val="clear" w:color="auto" w:fill="auto"/>
            <w:hideMark/>
          </w:tcPr>
          <w:p w14:paraId="05B38759" w14:textId="01EFDA61"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rPr>
              <w:t xml:space="preserve">2.2 </w:t>
            </w:r>
            <w:r w:rsidRPr="008B6AB5">
              <w:rPr>
                <w:rFonts w:ascii="Poppins" w:hAnsi="Poppins" w:cs="Poppins"/>
              </w:rPr>
              <w:t>RAP Working Group members to</w:t>
            </w:r>
            <w:r w:rsidR="001D0834">
              <w:rPr>
                <w:rFonts w:ascii="Poppins" w:hAnsi="Poppins" w:cs="Poppins"/>
              </w:rPr>
              <w:t xml:space="preserve"> </w:t>
            </w:r>
            <w:r w:rsidRPr="008B6AB5">
              <w:rPr>
                <w:rFonts w:ascii="Poppins" w:hAnsi="Poppins" w:cs="Poppins"/>
              </w:rPr>
              <w:t>participate</w:t>
            </w:r>
            <w:r w:rsidR="001D0834">
              <w:rPr>
                <w:rFonts w:ascii="Poppins" w:hAnsi="Poppins" w:cs="Poppins"/>
              </w:rPr>
              <w:t xml:space="preserve"> </w:t>
            </w:r>
            <w:r w:rsidRPr="008B6AB5">
              <w:rPr>
                <w:rFonts w:ascii="Poppins" w:hAnsi="Poppins" w:cs="Poppins"/>
              </w:rPr>
              <w:t>in an external NRW event</w:t>
            </w:r>
            <w:r>
              <w:rPr>
                <w:rFonts w:ascii="Poppins" w:hAnsi="Poppins" w:cs="Poppins"/>
              </w:rPr>
              <w:t>.</w:t>
            </w:r>
          </w:p>
        </w:tc>
        <w:tc>
          <w:tcPr>
            <w:tcW w:w="4205" w:type="dxa"/>
            <w:tcBorders>
              <w:bottom w:val="single" w:sz="4" w:space="0" w:color="auto"/>
            </w:tcBorders>
            <w:shd w:val="clear" w:color="auto" w:fill="FFFFFF" w:themeFill="background1"/>
            <w:hideMark/>
          </w:tcPr>
          <w:p w14:paraId="0C247711" w14:textId="143AF009"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8B6AB5">
              <w:rPr>
                <w:rFonts w:ascii="Poppins" w:hAnsi="Poppins" w:cs="Poppins"/>
              </w:rPr>
              <w:t>RAP Working Group members</w:t>
            </w:r>
            <w:r w:rsidR="005174D7">
              <w:rPr>
                <w:rFonts w:ascii="Poppins" w:hAnsi="Poppins" w:cs="Poppins"/>
              </w:rPr>
              <w:t xml:space="preserve"> </w:t>
            </w:r>
            <w:r w:rsidRPr="008B6AB5">
              <w:rPr>
                <w:rFonts w:ascii="Poppins" w:hAnsi="Poppins" w:cs="Poppins"/>
              </w:rPr>
              <w:t>participated</w:t>
            </w:r>
            <w:r w:rsidR="005174D7">
              <w:rPr>
                <w:rFonts w:ascii="Poppins" w:hAnsi="Poppins" w:cs="Poppins"/>
              </w:rPr>
              <w:t xml:space="preserve"> </w:t>
            </w:r>
            <w:r w:rsidRPr="008B6AB5">
              <w:rPr>
                <w:rFonts w:ascii="Poppins" w:hAnsi="Poppins" w:cs="Poppins"/>
              </w:rPr>
              <w:t>by</w:t>
            </w:r>
            <w:r w:rsidR="005174D7">
              <w:rPr>
                <w:rFonts w:ascii="Poppins" w:hAnsi="Poppins" w:cs="Poppins"/>
              </w:rPr>
              <w:t xml:space="preserve"> </w:t>
            </w:r>
            <w:proofErr w:type="gramStart"/>
            <w:r w:rsidRPr="008B6AB5">
              <w:rPr>
                <w:rFonts w:ascii="Poppins" w:hAnsi="Poppins" w:cs="Poppins"/>
              </w:rPr>
              <w:t>providing assistance</w:t>
            </w:r>
            <w:proofErr w:type="gramEnd"/>
            <w:r w:rsidR="00173083">
              <w:rPr>
                <w:rFonts w:ascii="Poppins" w:hAnsi="Poppins" w:cs="Poppins"/>
              </w:rPr>
              <w:t xml:space="preserve"> </w:t>
            </w:r>
            <w:r w:rsidRPr="008B6AB5">
              <w:rPr>
                <w:rFonts w:ascii="Poppins" w:hAnsi="Poppins" w:cs="Poppins"/>
              </w:rPr>
              <w:t>with</w:t>
            </w:r>
            <w:r w:rsidR="00173083">
              <w:rPr>
                <w:rFonts w:ascii="Poppins" w:hAnsi="Poppins" w:cs="Poppins"/>
              </w:rPr>
              <w:t xml:space="preserve"> </w:t>
            </w:r>
            <w:r w:rsidRPr="008B6AB5">
              <w:rPr>
                <w:rFonts w:ascii="Poppins" w:hAnsi="Poppins" w:cs="Poppins"/>
              </w:rPr>
              <w:t>the Shire’s</w:t>
            </w:r>
            <w:r w:rsidR="005174D7">
              <w:rPr>
                <w:rFonts w:ascii="Poppins" w:hAnsi="Poppins" w:cs="Poppins"/>
              </w:rPr>
              <w:t xml:space="preserve"> </w:t>
            </w:r>
            <w:r w:rsidRPr="008B6AB5">
              <w:rPr>
                <w:rFonts w:ascii="Poppins" w:hAnsi="Poppins" w:cs="Poppins"/>
              </w:rPr>
              <w:t>community NRW event</w:t>
            </w:r>
            <w:r w:rsidR="00173083">
              <w:rPr>
                <w:rFonts w:ascii="Poppins" w:hAnsi="Poppins" w:cs="Poppins"/>
              </w:rPr>
              <w:t xml:space="preserve"> </w:t>
            </w:r>
            <w:r w:rsidRPr="008B6AB5">
              <w:rPr>
                <w:rFonts w:ascii="Poppins" w:hAnsi="Poppins" w:cs="Poppins"/>
              </w:rPr>
              <w:t>at Safety Beach Sailing Club</w:t>
            </w:r>
            <w:r>
              <w:rPr>
                <w:rFonts w:ascii="Poppins" w:hAnsi="Poppins" w:cs="Poppins"/>
              </w:rPr>
              <w:t xml:space="preserve"> for </w:t>
            </w:r>
            <w:r w:rsidRPr="008B6AB5">
              <w:rPr>
                <w:rFonts w:ascii="Poppins" w:hAnsi="Poppins" w:cs="Poppins"/>
              </w:rPr>
              <w:t>a Welcome</w:t>
            </w:r>
            <w:r>
              <w:rPr>
                <w:rFonts w:ascii="Poppins" w:hAnsi="Poppins" w:cs="Poppins"/>
              </w:rPr>
              <w:t xml:space="preserve"> to Country</w:t>
            </w:r>
            <w:r w:rsidRPr="008B6AB5">
              <w:rPr>
                <w:rFonts w:ascii="Poppins" w:hAnsi="Poppins" w:cs="Poppins"/>
              </w:rPr>
              <w:t xml:space="preserve">, Smoking </w:t>
            </w:r>
            <w:r>
              <w:rPr>
                <w:rFonts w:ascii="Poppins" w:hAnsi="Poppins" w:cs="Poppins"/>
              </w:rPr>
              <w:t xml:space="preserve">Ceremony </w:t>
            </w:r>
            <w:r w:rsidRPr="008B6AB5">
              <w:rPr>
                <w:rFonts w:ascii="Poppins" w:hAnsi="Poppins" w:cs="Poppins"/>
              </w:rPr>
              <w:t>and a</w:t>
            </w:r>
            <w:r w:rsidR="00173083">
              <w:rPr>
                <w:rFonts w:ascii="Poppins" w:hAnsi="Poppins" w:cs="Poppins"/>
              </w:rPr>
              <w:t xml:space="preserve"> </w:t>
            </w:r>
            <w:r w:rsidRPr="008B6AB5">
              <w:rPr>
                <w:rFonts w:ascii="Poppins" w:hAnsi="Poppins" w:cs="Poppins"/>
              </w:rPr>
              <w:t>Cultural Awareness Training Session</w:t>
            </w:r>
            <w:r w:rsidR="00173083">
              <w:rPr>
                <w:rFonts w:ascii="Poppins" w:hAnsi="Poppins" w:cs="Poppins"/>
              </w:rPr>
              <w:t xml:space="preserve"> </w:t>
            </w:r>
            <w:r w:rsidRPr="008B6AB5">
              <w:rPr>
                <w:rFonts w:ascii="Poppins" w:hAnsi="Poppins" w:cs="Poppins"/>
              </w:rPr>
              <w:t>for community.  </w:t>
            </w:r>
          </w:p>
        </w:tc>
        <w:tc>
          <w:tcPr>
            <w:tcW w:w="1050" w:type="dxa"/>
            <w:tcBorders>
              <w:bottom w:val="single" w:sz="4" w:space="0" w:color="auto"/>
            </w:tcBorders>
            <w:shd w:val="clear" w:color="auto" w:fill="D6EBC4" w:themeFill="accent1" w:themeFillTint="66"/>
          </w:tcPr>
          <w:p w14:paraId="3A80EDB0" w14:textId="4D193D3A" w:rsidR="00A40338" w:rsidRPr="008B6AB5" w:rsidRDefault="00D02BC3"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A40338" w:rsidRPr="006949AB" w14:paraId="2E34A4F6" w14:textId="07FE9105"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3B5AAC2A" w14:textId="77777777" w:rsidR="00A40338" w:rsidRPr="006949AB" w:rsidRDefault="00A40338" w:rsidP="00C63A5A">
            <w:pPr>
              <w:pStyle w:val="BodyText"/>
              <w:rPr>
                <w:rFonts w:ascii="Poppins" w:hAnsi="Poppins" w:cs="Poppins"/>
              </w:rPr>
            </w:pPr>
          </w:p>
        </w:tc>
        <w:tc>
          <w:tcPr>
            <w:tcW w:w="2213" w:type="dxa"/>
            <w:tcBorders>
              <w:bottom w:val="single" w:sz="4" w:space="0" w:color="auto"/>
            </w:tcBorders>
            <w:shd w:val="clear" w:color="auto" w:fill="auto"/>
            <w:hideMark/>
          </w:tcPr>
          <w:p w14:paraId="208B87EC" w14:textId="69997827"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 xml:space="preserve">2.3 </w:t>
            </w:r>
            <w:r w:rsidRPr="002B3B87">
              <w:rPr>
                <w:rFonts w:ascii="Poppins" w:hAnsi="Poppins" w:cs="Poppins"/>
              </w:rPr>
              <w:t>Organise at least one staff NRW event each year.</w:t>
            </w:r>
          </w:p>
        </w:tc>
        <w:tc>
          <w:tcPr>
            <w:tcW w:w="4205" w:type="dxa"/>
            <w:tcBorders>
              <w:bottom w:val="single" w:sz="4" w:space="0" w:color="auto"/>
            </w:tcBorders>
            <w:shd w:val="clear" w:color="auto" w:fill="FFFFFF" w:themeFill="background1"/>
            <w:hideMark/>
          </w:tcPr>
          <w:p w14:paraId="6BA1833D" w14:textId="6C169B31" w:rsidR="00A40338" w:rsidRPr="006949AB" w:rsidRDefault="00A40338" w:rsidP="00F90E01">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751EFE">
              <w:rPr>
                <w:rFonts w:ascii="Poppins" w:hAnsi="Poppins" w:cs="Poppins"/>
              </w:rPr>
              <w:t>The 2026</w:t>
            </w:r>
            <w:r w:rsidR="00104FD3">
              <w:rPr>
                <w:rFonts w:ascii="Poppins" w:hAnsi="Poppins" w:cs="Poppins"/>
              </w:rPr>
              <w:t xml:space="preserve"> </w:t>
            </w:r>
            <w:r w:rsidRPr="00751EFE">
              <w:rPr>
                <w:rFonts w:ascii="Poppins" w:hAnsi="Poppins" w:cs="Poppins"/>
              </w:rPr>
              <w:t>National Reconciliation Week event for staff</w:t>
            </w:r>
            <w:r w:rsidR="00104FD3">
              <w:rPr>
                <w:rFonts w:ascii="Poppins" w:hAnsi="Poppins" w:cs="Poppins"/>
              </w:rPr>
              <w:t xml:space="preserve"> i</w:t>
            </w:r>
            <w:r w:rsidRPr="00751EFE">
              <w:rPr>
                <w:rFonts w:ascii="Poppins" w:hAnsi="Poppins" w:cs="Poppins"/>
              </w:rPr>
              <w:t>ncluded</w:t>
            </w:r>
            <w:r w:rsidR="00104FD3">
              <w:rPr>
                <w:rFonts w:ascii="Poppins" w:hAnsi="Poppins" w:cs="Poppins"/>
              </w:rPr>
              <w:t xml:space="preserve"> </w:t>
            </w:r>
            <w:r w:rsidRPr="00751EFE">
              <w:rPr>
                <w:rFonts w:ascii="Poppins" w:hAnsi="Poppins" w:cs="Poppins"/>
              </w:rPr>
              <w:t>a</w:t>
            </w:r>
            <w:r w:rsidR="00104FD3">
              <w:rPr>
                <w:rFonts w:ascii="Poppins" w:hAnsi="Poppins" w:cs="Poppins"/>
              </w:rPr>
              <w:t xml:space="preserve"> </w:t>
            </w:r>
            <w:r w:rsidRPr="00751EFE">
              <w:rPr>
                <w:rFonts w:ascii="Poppins" w:hAnsi="Poppins" w:cs="Poppins"/>
              </w:rPr>
              <w:t>Smoking ceremony,</w:t>
            </w:r>
            <w:r w:rsidR="00104FD3">
              <w:rPr>
                <w:rFonts w:ascii="Poppins" w:hAnsi="Poppins" w:cs="Poppins"/>
              </w:rPr>
              <w:t xml:space="preserve"> </w:t>
            </w:r>
            <w:r w:rsidRPr="00751EFE">
              <w:rPr>
                <w:rFonts w:ascii="Poppins" w:hAnsi="Poppins" w:cs="Poppins"/>
              </w:rPr>
              <w:t>Welcome</w:t>
            </w:r>
            <w:r w:rsidR="00104FD3">
              <w:rPr>
                <w:rFonts w:ascii="Poppins" w:hAnsi="Poppins" w:cs="Poppins"/>
              </w:rPr>
              <w:t xml:space="preserve"> </w:t>
            </w:r>
            <w:r w:rsidRPr="00751EFE">
              <w:rPr>
                <w:rFonts w:ascii="Poppins" w:hAnsi="Poppins" w:cs="Poppins"/>
              </w:rPr>
              <w:t>to Country</w:t>
            </w:r>
            <w:r w:rsidR="00322373">
              <w:rPr>
                <w:rFonts w:ascii="Poppins" w:hAnsi="Poppins" w:cs="Poppins"/>
              </w:rPr>
              <w:t xml:space="preserve"> </w:t>
            </w:r>
            <w:r w:rsidRPr="00751EFE">
              <w:rPr>
                <w:rFonts w:ascii="Poppins" w:hAnsi="Poppins" w:cs="Poppins"/>
              </w:rPr>
              <w:t xml:space="preserve">with </w:t>
            </w:r>
            <w:r w:rsidR="004E23D1">
              <w:rPr>
                <w:rFonts w:ascii="Poppins" w:hAnsi="Poppins" w:cs="Poppins"/>
              </w:rPr>
              <w:t xml:space="preserve">a </w:t>
            </w:r>
            <w:r w:rsidRPr="00751EFE">
              <w:rPr>
                <w:rFonts w:ascii="Poppins" w:hAnsi="Poppins" w:cs="Poppins"/>
              </w:rPr>
              <w:t>flag raising</w:t>
            </w:r>
            <w:r w:rsidR="00104FD3">
              <w:rPr>
                <w:rFonts w:ascii="Poppins" w:hAnsi="Poppins" w:cs="Poppins"/>
              </w:rPr>
              <w:t xml:space="preserve"> </w:t>
            </w:r>
            <w:r w:rsidRPr="00751EFE">
              <w:rPr>
                <w:rFonts w:ascii="Poppins" w:hAnsi="Poppins" w:cs="Poppins"/>
              </w:rPr>
              <w:t>ceremony</w:t>
            </w:r>
            <w:r w:rsidR="00104FD3">
              <w:rPr>
                <w:rFonts w:ascii="Poppins" w:hAnsi="Poppins" w:cs="Poppins"/>
              </w:rPr>
              <w:t xml:space="preserve"> </w:t>
            </w:r>
            <w:r w:rsidRPr="00751EFE">
              <w:rPr>
                <w:rFonts w:ascii="Poppins" w:hAnsi="Poppins" w:cs="Poppins"/>
              </w:rPr>
              <w:t>and an</w:t>
            </w:r>
            <w:r w:rsidR="00104FD3">
              <w:rPr>
                <w:rFonts w:ascii="Poppins" w:hAnsi="Poppins" w:cs="Poppins"/>
              </w:rPr>
              <w:t xml:space="preserve"> </w:t>
            </w:r>
            <w:r w:rsidRPr="00751EFE">
              <w:rPr>
                <w:rFonts w:ascii="Poppins" w:hAnsi="Poppins" w:cs="Poppins"/>
              </w:rPr>
              <w:t>experience-based cultural</w:t>
            </w:r>
            <w:r w:rsidR="00104FD3">
              <w:rPr>
                <w:rFonts w:ascii="Poppins" w:hAnsi="Poppins" w:cs="Poppins"/>
              </w:rPr>
              <w:t xml:space="preserve"> </w:t>
            </w:r>
            <w:r w:rsidRPr="00751EFE">
              <w:rPr>
                <w:rFonts w:ascii="Poppins" w:hAnsi="Poppins" w:cs="Poppins"/>
              </w:rPr>
              <w:t>awareness training session. </w:t>
            </w:r>
          </w:p>
        </w:tc>
        <w:tc>
          <w:tcPr>
            <w:tcW w:w="1050" w:type="dxa"/>
            <w:tcBorders>
              <w:bottom w:val="single" w:sz="4" w:space="0" w:color="auto"/>
            </w:tcBorders>
            <w:shd w:val="clear" w:color="auto" w:fill="D6EBC4" w:themeFill="accent1" w:themeFillTint="66"/>
          </w:tcPr>
          <w:p w14:paraId="4C0E1354" w14:textId="569574BA" w:rsidR="00A40338" w:rsidRPr="00751EFE" w:rsidRDefault="00D02BC3" w:rsidP="00F90E01">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A40338" w:rsidRPr="006949AB" w14:paraId="583806B8" w14:textId="42ED41FD"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3CBB88E5" w14:textId="77777777" w:rsidR="00A40338" w:rsidRPr="006949AB" w:rsidRDefault="00A40338" w:rsidP="00C63A5A">
            <w:pPr>
              <w:pStyle w:val="BodyText"/>
              <w:rPr>
                <w:rFonts w:ascii="Poppins" w:hAnsi="Poppins" w:cs="Poppins"/>
              </w:rPr>
            </w:pPr>
          </w:p>
        </w:tc>
        <w:tc>
          <w:tcPr>
            <w:tcW w:w="2213" w:type="dxa"/>
            <w:shd w:val="clear" w:color="auto" w:fill="auto"/>
          </w:tcPr>
          <w:p w14:paraId="017F9821" w14:textId="1B9621DE"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2.4 </w:t>
            </w:r>
            <w:r w:rsidRPr="008020BD">
              <w:rPr>
                <w:rFonts w:ascii="Poppins" w:hAnsi="Poppins" w:cs="Poppins"/>
              </w:rPr>
              <w:t>Encourage and support staff and senior leaders to</w:t>
            </w:r>
            <w:r w:rsidR="004E23D1">
              <w:rPr>
                <w:rFonts w:ascii="Poppins" w:hAnsi="Poppins" w:cs="Poppins"/>
              </w:rPr>
              <w:t xml:space="preserve"> </w:t>
            </w:r>
            <w:r w:rsidRPr="008020BD">
              <w:rPr>
                <w:rFonts w:ascii="Poppins" w:hAnsi="Poppins" w:cs="Poppins"/>
              </w:rPr>
              <w:t>participate</w:t>
            </w:r>
            <w:r w:rsidR="004E23D1">
              <w:rPr>
                <w:rFonts w:ascii="Poppins" w:hAnsi="Poppins" w:cs="Poppins"/>
              </w:rPr>
              <w:t xml:space="preserve"> </w:t>
            </w:r>
            <w:r w:rsidRPr="008020BD">
              <w:rPr>
                <w:rFonts w:ascii="Poppins" w:hAnsi="Poppins" w:cs="Poppins"/>
              </w:rPr>
              <w:t>in at least one external event to recognise and celebrate NRW. </w:t>
            </w:r>
          </w:p>
        </w:tc>
        <w:tc>
          <w:tcPr>
            <w:tcW w:w="4205" w:type="dxa"/>
            <w:shd w:val="clear" w:color="auto" w:fill="FFFFFF" w:themeFill="background1"/>
          </w:tcPr>
          <w:p w14:paraId="16FBE2C9" w14:textId="3EC77899"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F0D60">
              <w:rPr>
                <w:rFonts w:ascii="Poppins" w:hAnsi="Poppins" w:cs="Poppins"/>
              </w:rPr>
              <w:t>Internal promotion of the meaning behind NRW,</w:t>
            </w:r>
            <w:r w:rsidR="00322373">
              <w:rPr>
                <w:rFonts w:ascii="Poppins" w:hAnsi="Poppins" w:cs="Poppins"/>
              </w:rPr>
              <w:t xml:space="preserve"> </w:t>
            </w:r>
            <w:r w:rsidRPr="002F0D60">
              <w:rPr>
                <w:rFonts w:ascii="Poppins" w:hAnsi="Poppins" w:cs="Poppins"/>
              </w:rPr>
              <w:t>planned community events and internal opportunities are undertaken for all staff to engage with.  </w:t>
            </w:r>
          </w:p>
        </w:tc>
        <w:tc>
          <w:tcPr>
            <w:tcW w:w="1050" w:type="dxa"/>
            <w:shd w:val="clear" w:color="auto" w:fill="D6EBC4" w:themeFill="accent1" w:themeFillTint="66"/>
          </w:tcPr>
          <w:p w14:paraId="23094E18" w14:textId="70CBD4C5" w:rsidR="00A40338" w:rsidRPr="002F0D60" w:rsidRDefault="00842033"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A40338" w:rsidRPr="006949AB" w14:paraId="5347367A" w14:textId="61F81CDC"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262303EA" w14:textId="77777777" w:rsidR="00A40338" w:rsidRPr="006949AB" w:rsidRDefault="00A40338" w:rsidP="00C63A5A">
            <w:pPr>
              <w:pStyle w:val="BodyText"/>
              <w:rPr>
                <w:rFonts w:ascii="Poppins" w:hAnsi="Poppins" w:cs="Poppins"/>
              </w:rPr>
            </w:pPr>
          </w:p>
        </w:tc>
        <w:tc>
          <w:tcPr>
            <w:tcW w:w="2213" w:type="dxa"/>
            <w:shd w:val="clear" w:color="auto" w:fill="auto"/>
          </w:tcPr>
          <w:p w14:paraId="2859EF31" w14:textId="2BBB2F27" w:rsidR="00A40338"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2.5 </w:t>
            </w:r>
            <w:r w:rsidRPr="00F529A3">
              <w:rPr>
                <w:rFonts w:ascii="Poppins" w:hAnsi="Poppins" w:cs="Poppins"/>
              </w:rPr>
              <w:t>Register all our NRW events on Reconciliation Australia’s NRW website. </w:t>
            </w:r>
          </w:p>
        </w:tc>
        <w:tc>
          <w:tcPr>
            <w:tcW w:w="4205" w:type="dxa"/>
            <w:shd w:val="clear" w:color="auto" w:fill="FFFFFF" w:themeFill="background1"/>
          </w:tcPr>
          <w:p w14:paraId="1D39F3B5" w14:textId="73AD0B9F" w:rsidR="00A40338" w:rsidRPr="008020BD"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8020BD">
              <w:rPr>
                <w:rFonts w:ascii="Poppins" w:hAnsi="Poppins" w:cs="Poppins"/>
              </w:rPr>
              <w:t>All Mornington Peninsula Shire NRW events for 2026 were registered on Reconciliation Australia's NRW website.  </w:t>
            </w:r>
          </w:p>
        </w:tc>
        <w:tc>
          <w:tcPr>
            <w:tcW w:w="1050" w:type="dxa"/>
            <w:shd w:val="clear" w:color="auto" w:fill="D6EBC4" w:themeFill="accent1" w:themeFillTint="66"/>
          </w:tcPr>
          <w:p w14:paraId="067810A6" w14:textId="3AAA2BD8" w:rsidR="00A40338" w:rsidRPr="008020BD" w:rsidRDefault="00842033"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A40338" w:rsidRPr="006949AB" w14:paraId="79349ACA" w14:textId="3F9D7B82"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7F94C3C0" w14:textId="77777777" w:rsidR="00A40338" w:rsidRPr="006949AB" w:rsidRDefault="00A40338" w:rsidP="00C63A5A">
            <w:pPr>
              <w:pStyle w:val="BodyText"/>
              <w:rPr>
                <w:rFonts w:ascii="Poppins" w:hAnsi="Poppins" w:cs="Poppins"/>
              </w:rPr>
            </w:pPr>
          </w:p>
        </w:tc>
        <w:tc>
          <w:tcPr>
            <w:tcW w:w="2213" w:type="dxa"/>
            <w:shd w:val="clear" w:color="auto" w:fill="auto"/>
          </w:tcPr>
          <w:p w14:paraId="09268C19" w14:textId="46F4A232"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2.6 </w:t>
            </w:r>
            <w:r w:rsidRPr="00C37E2B">
              <w:rPr>
                <w:rFonts w:ascii="Poppins" w:hAnsi="Poppins" w:cs="Poppins"/>
              </w:rPr>
              <w:t>Support an external NRW event.</w:t>
            </w:r>
          </w:p>
        </w:tc>
        <w:tc>
          <w:tcPr>
            <w:tcW w:w="4205" w:type="dxa"/>
            <w:shd w:val="clear" w:color="auto" w:fill="FFFFFF" w:themeFill="background1"/>
          </w:tcPr>
          <w:p w14:paraId="26D94B90" w14:textId="29B3FBE6" w:rsidR="00A40338" w:rsidRPr="006949AB" w:rsidRDefault="00A40338"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AB42FD">
              <w:rPr>
                <w:rFonts w:ascii="Poppins" w:hAnsi="Poppins" w:cs="Poppins"/>
              </w:rPr>
              <w:t>Mornington Peninsula Shire supports Willum Warrain Gathering Place through the Community Event Grant which they were successful</w:t>
            </w:r>
            <w:r w:rsidR="00322373">
              <w:rPr>
                <w:rFonts w:ascii="Poppins" w:hAnsi="Poppins" w:cs="Poppins"/>
              </w:rPr>
              <w:t xml:space="preserve"> </w:t>
            </w:r>
            <w:r w:rsidRPr="00AB42FD">
              <w:rPr>
                <w:rFonts w:ascii="Poppins" w:hAnsi="Poppins" w:cs="Poppins"/>
              </w:rPr>
              <w:t>to the amount of</w:t>
            </w:r>
            <w:r w:rsidR="00322373">
              <w:rPr>
                <w:rFonts w:ascii="Poppins" w:hAnsi="Poppins" w:cs="Poppins"/>
              </w:rPr>
              <w:t xml:space="preserve"> </w:t>
            </w:r>
            <w:r w:rsidRPr="00AB42FD">
              <w:rPr>
                <w:rFonts w:ascii="Poppins" w:hAnsi="Poppins" w:cs="Poppins"/>
              </w:rPr>
              <w:t>$15k which</w:t>
            </w:r>
            <w:r w:rsidR="00322373">
              <w:rPr>
                <w:rFonts w:ascii="Poppins" w:hAnsi="Poppins" w:cs="Poppins"/>
              </w:rPr>
              <w:t xml:space="preserve"> </w:t>
            </w:r>
            <w:r w:rsidRPr="00AB42FD">
              <w:rPr>
                <w:rFonts w:ascii="Poppins" w:hAnsi="Poppins" w:cs="Poppins"/>
              </w:rPr>
              <w:t>was</w:t>
            </w:r>
            <w:r w:rsidR="00322373">
              <w:rPr>
                <w:rFonts w:ascii="Poppins" w:hAnsi="Poppins" w:cs="Poppins"/>
              </w:rPr>
              <w:t xml:space="preserve"> </w:t>
            </w:r>
            <w:r w:rsidRPr="00AB42FD">
              <w:rPr>
                <w:rFonts w:ascii="Poppins" w:hAnsi="Poppins" w:cs="Poppins"/>
              </w:rPr>
              <w:t>used for their Reconciliation Families and Allies Community Day on May 30, 2026.</w:t>
            </w:r>
            <w:r w:rsidR="00322373">
              <w:rPr>
                <w:rFonts w:ascii="Poppins" w:hAnsi="Poppins" w:cs="Poppins"/>
              </w:rPr>
              <w:t xml:space="preserve"> </w:t>
            </w:r>
            <w:r w:rsidRPr="00AB42FD">
              <w:rPr>
                <w:rFonts w:ascii="Poppins" w:hAnsi="Poppins" w:cs="Poppins"/>
              </w:rPr>
              <w:t>Additional</w:t>
            </w:r>
            <w:r w:rsidR="00322373">
              <w:rPr>
                <w:rFonts w:ascii="Poppins" w:hAnsi="Poppins" w:cs="Poppins"/>
              </w:rPr>
              <w:t xml:space="preserve"> </w:t>
            </w:r>
            <w:r w:rsidRPr="00AB42FD">
              <w:rPr>
                <w:rFonts w:ascii="Poppins" w:hAnsi="Poppins" w:cs="Poppins"/>
              </w:rPr>
              <w:t>support is provided through the</w:t>
            </w:r>
            <w:r w:rsidR="00322373">
              <w:rPr>
                <w:rFonts w:ascii="Poppins" w:hAnsi="Poppins" w:cs="Poppins"/>
              </w:rPr>
              <w:t xml:space="preserve"> </w:t>
            </w:r>
            <w:r>
              <w:rPr>
                <w:rFonts w:ascii="Poppins" w:hAnsi="Poppins" w:cs="Poppins"/>
              </w:rPr>
              <w:t>First Nations</w:t>
            </w:r>
            <w:r w:rsidRPr="00AB42FD">
              <w:rPr>
                <w:rFonts w:ascii="Poppins" w:hAnsi="Poppins" w:cs="Poppins"/>
              </w:rPr>
              <w:t xml:space="preserve"> Officer’s</w:t>
            </w:r>
            <w:r w:rsidR="00322373">
              <w:rPr>
                <w:rFonts w:ascii="Poppins" w:hAnsi="Poppins" w:cs="Poppins"/>
              </w:rPr>
              <w:t xml:space="preserve"> </w:t>
            </w:r>
            <w:r w:rsidRPr="00AB42FD">
              <w:rPr>
                <w:rFonts w:ascii="Poppins" w:hAnsi="Poppins" w:cs="Poppins"/>
              </w:rPr>
              <w:t>budget to support Reconciliation efforts.</w:t>
            </w:r>
          </w:p>
        </w:tc>
        <w:tc>
          <w:tcPr>
            <w:tcW w:w="1050" w:type="dxa"/>
            <w:shd w:val="clear" w:color="auto" w:fill="D6EBC4" w:themeFill="accent1" w:themeFillTint="66"/>
          </w:tcPr>
          <w:p w14:paraId="1797F0E3" w14:textId="185C9F17" w:rsidR="00A40338" w:rsidRPr="00AB42FD" w:rsidRDefault="00842033" w:rsidP="00C63A5A">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A40338" w:rsidRPr="006949AB" w14:paraId="764BA266" w14:textId="69056406"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54AD2394" w14:textId="77777777" w:rsidR="00A40338" w:rsidRPr="006949AB" w:rsidRDefault="00A40338" w:rsidP="00C63A5A">
            <w:pPr>
              <w:pStyle w:val="BodyText"/>
              <w:rPr>
                <w:rFonts w:ascii="Poppins" w:hAnsi="Poppins" w:cs="Poppins"/>
              </w:rPr>
            </w:pPr>
          </w:p>
        </w:tc>
        <w:tc>
          <w:tcPr>
            <w:tcW w:w="2213" w:type="dxa"/>
            <w:shd w:val="clear" w:color="auto" w:fill="auto"/>
          </w:tcPr>
          <w:p w14:paraId="113AC0C8" w14:textId="47379C0D"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2.7 </w:t>
            </w:r>
            <w:r w:rsidRPr="00AB42FD">
              <w:rPr>
                <w:rFonts w:ascii="Poppins" w:hAnsi="Poppins" w:cs="Poppins"/>
              </w:rPr>
              <w:t>Hold public event or film night to celebrate NRW including inviting a Traditional Owner to provide a Welcome to Country and engaging Aboriginal and Torres Strait Islander guest speakers and entertainers. </w:t>
            </w:r>
          </w:p>
        </w:tc>
        <w:tc>
          <w:tcPr>
            <w:tcW w:w="4205" w:type="dxa"/>
            <w:shd w:val="clear" w:color="auto" w:fill="FFFFFF" w:themeFill="background1"/>
          </w:tcPr>
          <w:p w14:paraId="16026E3C" w14:textId="055F8CB4" w:rsidR="00A40338" w:rsidRPr="006949AB" w:rsidRDefault="00A40338"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E0505A">
              <w:rPr>
                <w:rFonts w:ascii="Poppins" w:hAnsi="Poppins" w:cs="Poppins"/>
              </w:rPr>
              <w:t>A film screening of The Last Daughter is planned for the Mornington Peninsula Shire</w:t>
            </w:r>
            <w:r w:rsidR="00A8675E">
              <w:rPr>
                <w:rFonts w:ascii="Poppins" w:hAnsi="Poppins" w:cs="Poppins"/>
              </w:rPr>
              <w:t>’</w:t>
            </w:r>
            <w:r w:rsidRPr="00E0505A">
              <w:rPr>
                <w:rFonts w:ascii="Poppins" w:hAnsi="Poppins" w:cs="Poppins"/>
              </w:rPr>
              <w:t>s NAIDOC Week events in July</w:t>
            </w:r>
            <w:r w:rsidR="00A8675E">
              <w:rPr>
                <w:rFonts w:ascii="Poppins" w:hAnsi="Poppins" w:cs="Poppins"/>
              </w:rPr>
              <w:t xml:space="preserve"> </w:t>
            </w:r>
            <w:r w:rsidRPr="00E0505A">
              <w:rPr>
                <w:rFonts w:ascii="Poppins" w:hAnsi="Poppins" w:cs="Poppins"/>
              </w:rPr>
              <w:t>2026. </w:t>
            </w:r>
          </w:p>
        </w:tc>
        <w:tc>
          <w:tcPr>
            <w:tcW w:w="1050" w:type="dxa"/>
            <w:shd w:val="clear" w:color="auto" w:fill="D6EBC4" w:themeFill="accent1" w:themeFillTint="66"/>
          </w:tcPr>
          <w:p w14:paraId="0EDB191E" w14:textId="71564E2D" w:rsidR="00A40338" w:rsidRPr="00E0505A" w:rsidRDefault="00842033" w:rsidP="00C63A5A">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8C2994" w:rsidRPr="006949AB" w14:paraId="4F5C7638" w14:textId="647CD57C"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val="restart"/>
            <w:tcBorders>
              <w:bottom w:val="single" w:sz="4" w:space="0" w:color="auto"/>
            </w:tcBorders>
            <w:shd w:val="clear" w:color="auto" w:fill="auto"/>
            <w:hideMark/>
          </w:tcPr>
          <w:p w14:paraId="39497625" w14:textId="18FE97B0" w:rsidR="008C2994" w:rsidRPr="006949AB" w:rsidRDefault="008C2994" w:rsidP="008C2994">
            <w:pPr>
              <w:pStyle w:val="BodyText"/>
              <w:rPr>
                <w:rFonts w:ascii="Poppins" w:hAnsi="Poppins" w:cs="Poppins"/>
              </w:rPr>
            </w:pPr>
            <w:r w:rsidRPr="006949AB">
              <w:rPr>
                <w:rFonts w:ascii="Poppins" w:hAnsi="Poppins" w:cs="Poppins"/>
              </w:rPr>
              <w:t xml:space="preserve">3 </w:t>
            </w:r>
            <w:r w:rsidRPr="00F3206C">
              <w:rPr>
                <w:rFonts w:ascii="Poppins" w:hAnsi="Poppins" w:cs="Poppins"/>
              </w:rPr>
              <w:t>Promote reconciliation through our sphere of influence.</w:t>
            </w:r>
          </w:p>
        </w:tc>
        <w:tc>
          <w:tcPr>
            <w:tcW w:w="2213" w:type="dxa"/>
            <w:tcBorders>
              <w:bottom w:val="single" w:sz="4" w:space="0" w:color="auto"/>
            </w:tcBorders>
            <w:shd w:val="clear" w:color="auto" w:fill="auto"/>
            <w:hideMark/>
          </w:tcPr>
          <w:p w14:paraId="52464707" w14:textId="0DABA4BB"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rPr>
              <w:t xml:space="preserve">3.1 </w:t>
            </w:r>
            <w:r w:rsidRPr="00F3206C">
              <w:rPr>
                <w:rFonts w:ascii="Poppins" w:hAnsi="Poppins" w:cs="Poppins"/>
              </w:rPr>
              <w:t xml:space="preserve">Develop and implement a staff engagement strategy to raise awareness of </w:t>
            </w:r>
            <w:r w:rsidRPr="00F3206C">
              <w:rPr>
                <w:rFonts w:ascii="Poppins" w:hAnsi="Poppins" w:cs="Poppins"/>
              </w:rPr>
              <w:lastRenderedPageBreak/>
              <w:t>reconciliation across our workforce. </w:t>
            </w:r>
          </w:p>
        </w:tc>
        <w:tc>
          <w:tcPr>
            <w:tcW w:w="4205" w:type="dxa"/>
            <w:tcBorders>
              <w:bottom w:val="single" w:sz="4" w:space="0" w:color="auto"/>
            </w:tcBorders>
            <w:shd w:val="clear" w:color="auto" w:fill="FFFFFF" w:themeFill="background1"/>
            <w:hideMark/>
          </w:tcPr>
          <w:p w14:paraId="7E301F30" w14:textId="129A5D29" w:rsidR="008C2994"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5E5">
              <w:rPr>
                <w:rFonts w:ascii="Poppins" w:hAnsi="Poppins" w:cs="Poppins"/>
              </w:rPr>
              <w:lastRenderedPageBreak/>
              <w:t>The RAP Working Group is the current staff engagement strategy for raising awareness of Reconciliation across the</w:t>
            </w:r>
            <w:r w:rsidR="00A8675E">
              <w:rPr>
                <w:rFonts w:ascii="Poppins" w:hAnsi="Poppins" w:cs="Poppins"/>
              </w:rPr>
              <w:t xml:space="preserve"> </w:t>
            </w:r>
            <w:r w:rsidRPr="004155E5">
              <w:rPr>
                <w:rFonts w:ascii="Poppins" w:hAnsi="Poppins" w:cs="Poppins"/>
              </w:rPr>
              <w:t>workforce. </w:t>
            </w:r>
          </w:p>
          <w:p w14:paraId="732436EF" w14:textId="77777777"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050" w:type="dxa"/>
            <w:tcBorders>
              <w:bottom w:val="single" w:sz="4" w:space="0" w:color="auto"/>
            </w:tcBorders>
            <w:shd w:val="clear" w:color="auto" w:fill="D6EBC4" w:themeFill="accent1" w:themeFillTint="66"/>
          </w:tcPr>
          <w:p w14:paraId="2416DEE0" w14:textId="6C3F4190" w:rsidR="008C2994" w:rsidRPr="004155E5"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8C2994" w:rsidRPr="006949AB" w14:paraId="6B35A6C5" w14:textId="6CC04B96"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38E0E1AA" w14:textId="77777777" w:rsidR="008C2994" w:rsidRPr="006949AB" w:rsidRDefault="008C2994" w:rsidP="008C2994">
            <w:pPr>
              <w:pStyle w:val="BodyText"/>
              <w:rPr>
                <w:rFonts w:ascii="Poppins" w:hAnsi="Poppins" w:cs="Poppins"/>
              </w:rPr>
            </w:pPr>
          </w:p>
        </w:tc>
        <w:tc>
          <w:tcPr>
            <w:tcW w:w="2213" w:type="dxa"/>
            <w:tcBorders>
              <w:bottom w:val="single" w:sz="4" w:space="0" w:color="auto"/>
            </w:tcBorders>
            <w:shd w:val="clear" w:color="auto" w:fill="auto"/>
            <w:hideMark/>
          </w:tcPr>
          <w:p w14:paraId="263E0AC1" w14:textId="31FF29C3"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 xml:space="preserve">3.2 </w:t>
            </w:r>
            <w:r w:rsidRPr="004155E5">
              <w:rPr>
                <w:rFonts w:ascii="Poppins" w:hAnsi="Poppins" w:cs="Poppins"/>
              </w:rPr>
              <w:t>Communicate our commitment to reconciliation publicly.</w:t>
            </w:r>
          </w:p>
        </w:tc>
        <w:tc>
          <w:tcPr>
            <w:tcW w:w="4205" w:type="dxa"/>
            <w:tcBorders>
              <w:bottom w:val="single" w:sz="4" w:space="0" w:color="auto"/>
            </w:tcBorders>
            <w:shd w:val="clear" w:color="auto" w:fill="FFFFFF" w:themeFill="background1"/>
            <w:hideMark/>
          </w:tcPr>
          <w:p w14:paraId="74834687" w14:textId="36F83410"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EE74BB">
              <w:rPr>
                <w:rFonts w:ascii="Poppins" w:hAnsi="Poppins" w:cs="Poppins"/>
              </w:rPr>
              <w:t>Council has continued to promote reconciliation and First Nations initiatives through a range of communication channels, including social media, print advertising, community</w:t>
            </w:r>
            <w:r w:rsidR="00A8675E">
              <w:rPr>
                <w:rFonts w:ascii="Poppins" w:hAnsi="Poppins" w:cs="Poppins"/>
              </w:rPr>
              <w:t xml:space="preserve"> </w:t>
            </w:r>
            <w:r w:rsidRPr="00EE74BB">
              <w:rPr>
                <w:rFonts w:ascii="Poppins" w:hAnsi="Poppins" w:cs="Poppins"/>
              </w:rPr>
              <w:t>publications</w:t>
            </w:r>
            <w:r w:rsidR="00A8675E">
              <w:rPr>
                <w:rFonts w:ascii="Poppins" w:hAnsi="Poppins" w:cs="Poppins"/>
              </w:rPr>
              <w:t xml:space="preserve"> </w:t>
            </w:r>
            <w:r w:rsidRPr="00EE74BB">
              <w:rPr>
                <w:rFonts w:ascii="Poppins" w:hAnsi="Poppins" w:cs="Poppins"/>
              </w:rPr>
              <w:t>and targeted campaigns. Key activities included promoting Mornington Peninsula Regional Gallery First Nations exhibitions and events, highlighting Reconciliation and Allies events in</w:t>
            </w:r>
            <w:r w:rsidR="00EF57F2">
              <w:rPr>
                <w:rFonts w:ascii="Poppins" w:hAnsi="Poppins" w:cs="Poppins"/>
              </w:rPr>
              <w:t xml:space="preserve"> </w:t>
            </w:r>
            <w:r w:rsidRPr="00EE74BB">
              <w:rPr>
                <w:rFonts w:ascii="Poppins" w:hAnsi="Poppins" w:cs="Poppins"/>
              </w:rPr>
              <w:t>Peninsula Wide,</w:t>
            </w:r>
            <w:r w:rsidR="00A8675E">
              <w:rPr>
                <w:rFonts w:ascii="Poppins" w:hAnsi="Poppins" w:cs="Poppins"/>
              </w:rPr>
              <w:t xml:space="preserve"> </w:t>
            </w:r>
            <w:r w:rsidRPr="00EE74BB">
              <w:rPr>
                <w:rFonts w:ascii="Poppins" w:hAnsi="Poppins" w:cs="Poppins"/>
              </w:rPr>
              <w:t>and developing dedicated communication plans for both</w:t>
            </w:r>
            <w:r w:rsidR="00EF57F2">
              <w:rPr>
                <w:rFonts w:ascii="Poppins" w:hAnsi="Poppins" w:cs="Poppins"/>
              </w:rPr>
              <w:t xml:space="preserve"> </w:t>
            </w:r>
            <w:r w:rsidRPr="00EE74BB">
              <w:rPr>
                <w:rFonts w:ascii="Poppins" w:hAnsi="Poppins" w:cs="Poppins"/>
              </w:rPr>
              <w:t>NAIDOC Week 2025,</w:t>
            </w:r>
            <w:r w:rsidR="00EF57F2">
              <w:rPr>
                <w:rFonts w:ascii="Poppins" w:hAnsi="Poppins" w:cs="Poppins"/>
              </w:rPr>
              <w:t xml:space="preserve"> </w:t>
            </w:r>
            <w:r w:rsidRPr="00EE74BB">
              <w:rPr>
                <w:rFonts w:ascii="Poppins" w:hAnsi="Poppins" w:cs="Poppins"/>
              </w:rPr>
              <w:t>National Reconciliation Week</w:t>
            </w:r>
            <w:r w:rsidR="00EF57F2">
              <w:rPr>
                <w:rFonts w:ascii="Poppins" w:hAnsi="Poppins" w:cs="Poppins"/>
              </w:rPr>
              <w:t xml:space="preserve"> </w:t>
            </w:r>
            <w:r w:rsidRPr="00EE74BB">
              <w:rPr>
                <w:rFonts w:ascii="Poppins" w:hAnsi="Poppins" w:cs="Poppins"/>
              </w:rPr>
              <w:t>2026</w:t>
            </w:r>
            <w:r w:rsidR="00EF57F2">
              <w:rPr>
                <w:rFonts w:ascii="Poppins" w:hAnsi="Poppins" w:cs="Poppins"/>
              </w:rPr>
              <w:t xml:space="preserve"> </w:t>
            </w:r>
            <w:r w:rsidRPr="00EE74BB">
              <w:rPr>
                <w:rFonts w:ascii="Poppins" w:hAnsi="Poppins" w:cs="Poppins"/>
              </w:rPr>
              <w:t>and the Reconciliation Action Plan. Ongoing RAP communications have reinforced the Shire’s commitment to reconciliation.</w:t>
            </w:r>
          </w:p>
        </w:tc>
        <w:tc>
          <w:tcPr>
            <w:tcW w:w="1050" w:type="dxa"/>
            <w:tcBorders>
              <w:bottom w:val="single" w:sz="4" w:space="0" w:color="auto"/>
            </w:tcBorders>
            <w:shd w:val="clear" w:color="auto" w:fill="D6EBC4" w:themeFill="accent1" w:themeFillTint="66"/>
          </w:tcPr>
          <w:p w14:paraId="28209DD3" w14:textId="0CAE8F30" w:rsidR="008C2994" w:rsidRPr="00EE74B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8C2994" w:rsidRPr="006949AB" w14:paraId="4227558F" w14:textId="38FBCA8A"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7A4A9B9D" w14:textId="77777777" w:rsidR="008C2994" w:rsidRPr="006949AB" w:rsidRDefault="008C2994" w:rsidP="008C2994">
            <w:pPr>
              <w:pStyle w:val="BodyText"/>
              <w:rPr>
                <w:rFonts w:ascii="Poppins" w:hAnsi="Poppins" w:cs="Poppins"/>
              </w:rPr>
            </w:pPr>
          </w:p>
        </w:tc>
        <w:tc>
          <w:tcPr>
            <w:tcW w:w="2213" w:type="dxa"/>
            <w:shd w:val="clear" w:color="auto" w:fill="auto"/>
            <w:hideMark/>
          </w:tcPr>
          <w:p w14:paraId="1B40D5DE" w14:textId="28B69984"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rPr>
              <w:t xml:space="preserve">3.3 </w:t>
            </w:r>
            <w:r w:rsidRPr="00EE74BB">
              <w:rPr>
                <w:rFonts w:ascii="Poppins" w:hAnsi="Poppins" w:cs="Poppins"/>
              </w:rPr>
              <w:t>Explore opportunities to positively influence our external stakeholders to</w:t>
            </w:r>
            <w:r w:rsidR="00D474C3">
              <w:rPr>
                <w:rFonts w:ascii="Poppins" w:hAnsi="Poppins" w:cs="Poppins"/>
              </w:rPr>
              <w:t xml:space="preserve"> </w:t>
            </w:r>
            <w:r w:rsidRPr="00EE74BB">
              <w:rPr>
                <w:rFonts w:ascii="Poppins" w:hAnsi="Poppins" w:cs="Poppins"/>
              </w:rPr>
              <w:t>drive reconciliation outcomes. </w:t>
            </w:r>
          </w:p>
        </w:tc>
        <w:tc>
          <w:tcPr>
            <w:tcW w:w="4205" w:type="dxa"/>
            <w:shd w:val="clear" w:color="auto" w:fill="FFFFFF" w:themeFill="background1"/>
            <w:hideMark/>
          </w:tcPr>
          <w:p w14:paraId="7B107A0E" w14:textId="7652F60C"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C7064F">
              <w:rPr>
                <w:rFonts w:ascii="Poppins" w:hAnsi="Poppins" w:cs="Poppins"/>
              </w:rPr>
              <w:t xml:space="preserve">Organic conversations are always taking place with allies, stakeholders and partners about potential </w:t>
            </w:r>
            <w:r>
              <w:rPr>
                <w:rFonts w:ascii="Poppins" w:hAnsi="Poppins" w:cs="Poppins"/>
              </w:rPr>
              <w:t xml:space="preserve">collaborative </w:t>
            </w:r>
            <w:r w:rsidRPr="00C7064F">
              <w:rPr>
                <w:rFonts w:ascii="Poppins" w:hAnsi="Poppins" w:cs="Poppins"/>
              </w:rPr>
              <w:t>opportunities that will positively drive reconciliation outcomes. </w:t>
            </w:r>
          </w:p>
        </w:tc>
        <w:tc>
          <w:tcPr>
            <w:tcW w:w="1050" w:type="dxa"/>
            <w:shd w:val="clear" w:color="auto" w:fill="D6EBC4" w:themeFill="accent1" w:themeFillTint="66"/>
          </w:tcPr>
          <w:p w14:paraId="2E95E1F5" w14:textId="15D734B5" w:rsidR="008C2994" w:rsidRPr="00C7064F"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8C2994" w:rsidRPr="006949AB" w14:paraId="4D94CF19" w14:textId="013ACFC6"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3D9534D1" w14:textId="77777777" w:rsidR="008C2994" w:rsidRPr="006949AB" w:rsidRDefault="008C2994" w:rsidP="008C2994">
            <w:pPr>
              <w:pStyle w:val="BodyText"/>
              <w:rPr>
                <w:rFonts w:ascii="Poppins" w:hAnsi="Poppins" w:cs="Poppins"/>
              </w:rPr>
            </w:pPr>
          </w:p>
        </w:tc>
        <w:tc>
          <w:tcPr>
            <w:tcW w:w="2213" w:type="dxa"/>
            <w:shd w:val="clear" w:color="auto" w:fill="auto"/>
          </w:tcPr>
          <w:p w14:paraId="20181DEE" w14:textId="336A71A3"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3.4 </w:t>
            </w:r>
            <w:r w:rsidRPr="00483FC7">
              <w:rPr>
                <w:rFonts w:ascii="Poppins" w:hAnsi="Poppins" w:cs="Poppins"/>
              </w:rPr>
              <w:t>Collaborate with RAP organisations and other like-minded organisations to develop innovative approaches to advance reconciliation.</w:t>
            </w:r>
          </w:p>
        </w:tc>
        <w:tc>
          <w:tcPr>
            <w:tcW w:w="4205" w:type="dxa"/>
            <w:shd w:val="clear" w:color="auto" w:fill="FFFFFF" w:themeFill="background1"/>
          </w:tcPr>
          <w:p w14:paraId="5840EB6E" w14:textId="4D7B22AE" w:rsidR="008C2994" w:rsidRPr="00C7064F" w:rsidRDefault="00460022"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460022">
              <w:rPr>
                <w:rFonts w:ascii="Poppins" w:hAnsi="Poppins" w:cs="Poppins"/>
              </w:rPr>
              <w:t xml:space="preserve">Conversations are continuing with Glen Eira Council, Bayside City Council, Kingston City Council and Frankston City Council to establish a quarterly meeting with the Bunurong Land Council. The intention is to take a collaborative approach that reduces duplication and supports more consistent and effective engagement across councils. A draft proposal is currently being finalised and will be shared with </w:t>
            </w:r>
            <w:r w:rsidR="007F16A2">
              <w:rPr>
                <w:rFonts w:ascii="Poppins" w:hAnsi="Poppins" w:cs="Poppins"/>
              </w:rPr>
              <w:t>Bunurong</w:t>
            </w:r>
            <w:r w:rsidRPr="00460022">
              <w:rPr>
                <w:rFonts w:ascii="Poppins" w:hAnsi="Poppins" w:cs="Poppins"/>
              </w:rPr>
              <w:t xml:space="preserve"> Land Council for consideration.</w:t>
            </w:r>
          </w:p>
        </w:tc>
        <w:tc>
          <w:tcPr>
            <w:tcW w:w="1050" w:type="dxa"/>
            <w:shd w:val="clear" w:color="auto" w:fill="D6EBC4" w:themeFill="accent1" w:themeFillTint="66"/>
          </w:tcPr>
          <w:p w14:paraId="48417D93" w14:textId="738BCE0F" w:rsidR="008C2994" w:rsidRPr="00483FC7"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8C2994" w:rsidRPr="006949AB" w14:paraId="40EC5D3B" w14:textId="72670B79"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1A21AF95" w14:textId="77777777" w:rsidR="008C2994" w:rsidRPr="006949AB" w:rsidRDefault="008C2994" w:rsidP="008C2994">
            <w:pPr>
              <w:pStyle w:val="BodyText"/>
              <w:rPr>
                <w:rFonts w:ascii="Poppins" w:hAnsi="Poppins" w:cs="Poppins"/>
              </w:rPr>
            </w:pPr>
          </w:p>
        </w:tc>
        <w:tc>
          <w:tcPr>
            <w:tcW w:w="2213" w:type="dxa"/>
            <w:shd w:val="clear" w:color="auto" w:fill="auto"/>
          </w:tcPr>
          <w:p w14:paraId="3B63C036" w14:textId="77777777" w:rsidR="008C2994"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3.5 </w:t>
            </w:r>
            <w:r w:rsidRPr="00C70982">
              <w:rPr>
                <w:rFonts w:ascii="Poppins" w:hAnsi="Poppins" w:cs="Poppins"/>
              </w:rPr>
              <w:t>Participate in inter-Council reconciliation initiatives through local government networks. </w:t>
            </w:r>
          </w:p>
          <w:p w14:paraId="19599EF4" w14:textId="51C06AD5"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4205" w:type="dxa"/>
            <w:shd w:val="clear" w:color="auto" w:fill="FFFFFF" w:themeFill="background1"/>
          </w:tcPr>
          <w:p w14:paraId="1E33B67B" w14:textId="67C6C3BC" w:rsidR="008C2994" w:rsidRPr="00C7064F"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Regular p</w:t>
            </w:r>
            <w:r w:rsidRPr="00C70982">
              <w:rPr>
                <w:rFonts w:ascii="Poppins" w:hAnsi="Poppins" w:cs="Poppins"/>
              </w:rPr>
              <w:t xml:space="preserve">articipation </w:t>
            </w:r>
            <w:r>
              <w:rPr>
                <w:rFonts w:ascii="Poppins" w:hAnsi="Poppins" w:cs="Poppins"/>
              </w:rPr>
              <w:t xml:space="preserve">continues </w:t>
            </w:r>
            <w:r w:rsidRPr="00C70982">
              <w:rPr>
                <w:rFonts w:ascii="Poppins" w:hAnsi="Poppins" w:cs="Poppins"/>
              </w:rPr>
              <w:t>with the</w:t>
            </w:r>
            <w:r w:rsidR="00F852A9">
              <w:rPr>
                <w:rFonts w:ascii="Poppins" w:hAnsi="Poppins" w:cs="Poppins"/>
              </w:rPr>
              <w:t xml:space="preserve"> </w:t>
            </w:r>
            <w:r w:rsidRPr="00C70982">
              <w:rPr>
                <w:rFonts w:ascii="Poppins" w:hAnsi="Poppins" w:cs="Poppins"/>
              </w:rPr>
              <w:t>LGPRO</w:t>
            </w:r>
            <w:r w:rsidR="00F852A9">
              <w:rPr>
                <w:rFonts w:ascii="Poppins" w:hAnsi="Poppins" w:cs="Poppins"/>
              </w:rPr>
              <w:t xml:space="preserve"> </w:t>
            </w:r>
            <w:r w:rsidRPr="00C70982">
              <w:rPr>
                <w:rFonts w:ascii="Poppins" w:hAnsi="Poppins" w:cs="Poppins"/>
              </w:rPr>
              <w:t>Reconciliation Action Network SIG Meeting</w:t>
            </w:r>
            <w:r w:rsidR="00F852A9">
              <w:rPr>
                <w:rFonts w:ascii="Poppins" w:hAnsi="Poppins" w:cs="Poppins"/>
              </w:rPr>
              <w:t xml:space="preserve"> </w:t>
            </w:r>
            <w:r w:rsidRPr="00C70982">
              <w:rPr>
                <w:rFonts w:ascii="Poppins" w:hAnsi="Poppins" w:cs="Poppins"/>
              </w:rPr>
              <w:t xml:space="preserve">which </w:t>
            </w:r>
            <w:r>
              <w:rPr>
                <w:rFonts w:ascii="Poppins" w:hAnsi="Poppins" w:cs="Poppins"/>
              </w:rPr>
              <w:t>facilitates inter-council relationships and collaboration.</w:t>
            </w:r>
          </w:p>
        </w:tc>
        <w:tc>
          <w:tcPr>
            <w:tcW w:w="1050" w:type="dxa"/>
            <w:shd w:val="clear" w:color="auto" w:fill="D6EBC4" w:themeFill="accent1" w:themeFillTint="66"/>
          </w:tcPr>
          <w:p w14:paraId="7630165E" w14:textId="00ED6A03" w:rsidR="008C2994"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8C2994" w:rsidRPr="006949AB" w14:paraId="47BC8CE2" w14:textId="132D15F8"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val="restart"/>
            <w:tcBorders>
              <w:bottom w:val="single" w:sz="4" w:space="0" w:color="auto"/>
            </w:tcBorders>
            <w:shd w:val="clear" w:color="auto" w:fill="auto"/>
            <w:hideMark/>
          </w:tcPr>
          <w:p w14:paraId="7A0A2D22" w14:textId="2070547A" w:rsidR="008C2994" w:rsidRPr="006949AB" w:rsidRDefault="008C2994" w:rsidP="008C2994">
            <w:pPr>
              <w:pStyle w:val="BodyText"/>
              <w:rPr>
                <w:rFonts w:ascii="Poppins" w:hAnsi="Poppins" w:cs="Poppins"/>
              </w:rPr>
            </w:pPr>
            <w:r w:rsidRPr="006949AB">
              <w:rPr>
                <w:rFonts w:ascii="Poppins" w:hAnsi="Poppins" w:cs="Poppins"/>
              </w:rPr>
              <w:t xml:space="preserve">4 </w:t>
            </w:r>
            <w:r w:rsidRPr="0094393D">
              <w:rPr>
                <w:rFonts w:ascii="Poppins" w:hAnsi="Poppins" w:cs="Poppins"/>
              </w:rPr>
              <w:t>Promote positive race relations through anti-discrimination strategies.  </w:t>
            </w:r>
          </w:p>
        </w:tc>
        <w:tc>
          <w:tcPr>
            <w:tcW w:w="2213" w:type="dxa"/>
            <w:tcBorders>
              <w:bottom w:val="single" w:sz="4" w:space="0" w:color="auto"/>
            </w:tcBorders>
            <w:shd w:val="clear" w:color="auto" w:fill="auto"/>
            <w:hideMark/>
          </w:tcPr>
          <w:p w14:paraId="7372578D" w14:textId="08D1C8A2"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 xml:space="preserve">4.1 </w:t>
            </w:r>
            <w:r w:rsidRPr="003B4532">
              <w:rPr>
                <w:rFonts w:ascii="Poppins" w:hAnsi="Poppins" w:cs="Poppins"/>
              </w:rPr>
              <w:t>Conduct a review of HR policies and procedures to</w:t>
            </w:r>
            <w:r w:rsidR="00D474C3">
              <w:rPr>
                <w:rFonts w:ascii="Poppins" w:hAnsi="Poppins" w:cs="Poppins"/>
              </w:rPr>
              <w:t xml:space="preserve"> </w:t>
            </w:r>
            <w:r w:rsidRPr="003B4532">
              <w:rPr>
                <w:rFonts w:ascii="Poppins" w:hAnsi="Poppins" w:cs="Poppins"/>
              </w:rPr>
              <w:t>identify</w:t>
            </w:r>
            <w:r w:rsidR="00D474C3">
              <w:rPr>
                <w:rFonts w:ascii="Poppins" w:hAnsi="Poppins" w:cs="Poppins"/>
              </w:rPr>
              <w:t xml:space="preserve"> </w:t>
            </w:r>
            <w:r w:rsidRPr="003B4532">
              <w:rPr>
                <w:rFonts w:ascii="Poppins" w:hAnsi="Poppins" w:cs="Poppins"/>
              </w:rPr>
              <w:t>existing anti-discrimination provisions, and future needs.</w:t>
            </w:r>
            <w:r w:rsidR="00D474C3">
              <w:rPr>
                <w:rFonts w:ascii="Poppins" w:hAnsi="Poppins" w:cs="Poppins"/>
              </w:rPr>
              <w:t xml:space="preserve"> </w:t>
            </w:r>
          </w:p>
        </w:tc>
        <w:tc>
          <w:tcPr>
            <w:tcW w:w="4205" w:type="dxa"/>
            <w:tcBorders>
              <w:bottom w:val="single" w:sz="4" w:space="0" w:color="auto"/>
            </w:tcBorders>
            <w:shd w:val="clear" w:color="auto" w:fill="FFFFFF" w:themeFill="background1"/>
            <w:hideMark/>
          </w:tcPr>
          <w:p w14:paraId="7E060361" w14:textId="03CD15E2"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5848C090">
              <w:rPr>
                <w:rFonts w:ascii="Poppins" w:hAnsi="Poppins" w:cs="Poppins"/>
              </w:rPr>
              <w:t>All current policy updates have been complete</w:t>
            </w:r>
            <w:r w:rsidR="759578DB" w:rsidRPr="5848C090">
              <w:rPr>
                <w:rFonts w:ascii="Poppins" w:hAnsi="Poppins" w:cs="Poppins"/>
              </w:rPr>
              <w:t>d</w:t>
            </w:r>
            <w:r w:rsidRPr="5848C090">
              <w:rPr>
                <w:rFonts w:ascii="Poppins" w:hAnsi="Poppins" w:cs="Poppins"/>
              </w:rPr>
              <w:t>.</w:t>
            </w:r>
            <w:r w:rsidR="00D474C3">
              <w:rPr>
                <w:rFonts w:ascii="Poppins" w:hAnsi="Poppins" w:cs="Poppins"/>
              </w:rPr>
              <w:t xml:space="preserve"> </w:t>
            </w:r>
            <w:r w:rsidR="372CF292" w:rsidRPr="5848C090">
              <w:rPr>
                <w:rFonts w:ascii="Poppins" w:hAnsi="Poppins" w:cs="Poppins"/>
              </w:rPr>
              <w:t xml:space="preserve">Employee Disciplinary Policy and Procedures along with Grievance Policy and </w:t>
            </w:r>
            <w:r w:rsidR="0E0189A0" w:rsidRPr="5848C090">
              <w:rPr>
                <w:rFonts w:ascii="Poppins" w:hAnsi="Poppins" w:cs="Poppins"/>
              </w:rPr>
              <w:t>Procedures</w:t>
            </w:r>
            <w:r w:rsidR="372CF292" w:rsidRPr="5848C090">
              <w:rPr>
                <w:rFonts w:ascii="Poppins" w:hAnsi="Poppins" w:cs="Poppins"/>
              </w:rPr>
              <w:t xml:space="preserve"> are due to be</w:t>
            </w:r>
            <w:r w:rsidR="760A2DF3" w:rsidRPr="5848C090">
              <w:rPr>
                <w:rFonts w:ascii="Poppins" w:hAnsi="Poppins" w:cs="Poppins"/>
              </w:rPr>
              <w:t xml:space="preserve"> </w:t>
            </w:r>
            <w:r w:rsidR="377991CC" w:rsidRPr="5848C090">
              <w:rPr>
                <w:rFonts w:ascii="Poppins" w:hAnsi="Poppins" w:cs="Poppins"/>
              </w:rPr>
              <w:t>reviewed this</w:t>
            </w:r>
            <w:r w:rsidRPr="5848C090">
              <w:rPr>
                <w:rFonts w:ascii="Poppins" w:hAnsi="Poppins" w:cs="Poppins"/>
              </w:rPr>
              <w:t> financial year.</w:t>
            </w:r>
          </w:p>
        </w:tc>
        <w:tc>
          <w:tcPr>
            <w:tcW w:w="1050" w:type="dxa"/>
            <w:tcBorders>
              <w:bottom w:val="single" w:sz="4" w:space="0" w:color="auto"/>
            </w:tcBorders>
            <w:shd w:val="clear" w:color="auto" w:fill="D6EBC4" w:themeFill="accent1" w:themeFillTint="66"/>
          </w:tcPr>
          <w:p w14:paraId="43B07521" w14:textId="39ED42FD" w:rsidR="008C2994" w:rsidRPr="001D6DA0" w:rsidRDefault="00ED625B"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 track</w:t>
            </w:r>
          </w:p>
        </w:tc>
      </w:tr>
      <w:tr w:rsidR="008C2994" w:rsidRPr="006949AB" w14:paraId="1E08A06D" w14:textId="16484AE8"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6AF420C7" w14:textId="77777777" w:rsidR="008C2994" w:rsidRPr="006949AB" w:rsidRDefault="008C2994" w:rsidP="008C2994">
            <w:pPr>
              <w:pStyle w:val="BodyText"/>
              <w:rPr>
                <w:rFonts w:ascii="Poppins" w:hAnsi="Poppins" w:cs="Poppins"/>
              </w:rPr>
            </w:pPr>
          </w:p>
        </w:tc>
        <w:tc>
          <w:tcPr>
            <w:tcW w:w="2213" w:type="dxa"/>
            <w:tcBorders>
              <w:bottom w:val="single" w:sz="4" w:space="0" w:color="auto"/>
            </w:tcBorders>
            <w:shd w:val="clear" w:color="auto" w:fill="auto"/>
            <w:hideMark/>
          </w:tcPr>
          <w:p w14:paraId="329A690E" w14:textId="18B015FD"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rPr>
              <w:t xml:space="preserve">4.2 </w:t>
            </w:r>
            <w:r w:rsidRPr="001D6DA0">
              <w:rPr>
                <w:rFonts w:ascii="Poppins" w:hAnsi="Poppins" w:cs="Poppins"/>
              </w:rPr>
              <w:t>Develop, implement, and communicate an anti-discrimination policy for our organisation.  </w:t>
            </w:r>
          </w:p>
        </w:tc>
        <w:tc>
          <w:tcPr>
            <w:tcW w:w="4205" w:type="dxa"/>
            <w:tcBorders>
              <w:bottom w:val="single" w:sz="4" w:space="0" w:color="auto"/>
            </w:tcBorders>
            <w:shd w:val="clear" w:color="auto" w:fill="FFFFFF" w:themeFill="background1"/>
            <w:hideMark/>
          </w:tcPr>
          <w:p w14:paraId="38BBF73D" w14:textId="782120FF"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D93BE4">
              <w:rPr>
                <w:rFonts w:ascii="Poppins" w:hAnsi="Poppins" w:cs="Poppins"/>
              </w:rPr>
              <w:t>Current Diversity and Inclusion Policy</w:t>
            </w:r>
            <w:r w:rsidR="00D474C3">
              <w:rPr>
                <w:rFonts w:ascii="Poppins" w:hAnsi="Poppins" w:cs="Poppins"/>
              </w:rPr>
              <w:t xml:space="preserve"> </w:t>
            </w:r>
            <w:proofErr w:type="gramStart"/>
            <w:r w:rsidRPr="00D93BE4">
              <w:rPr>
                <w:rFonts w:ascii="Poppins" w:hAnsi="Poppins" w:cs="Poppins"/>
              </w:rPr>
              <w:t>is</w:t>
            </w:r>
            <w:proofErr w:type="gramEnd"/>
            <w:r w:rsidR="00D474C3">
              <w:rPr>
                <w:rFonts w:ascii="Poppins" w:hAnsi="Poppins" w:cs="Poppins"/>
              </w:rPr>
              <w:t xml:space="preserve"> </w:t>
            </w:r>
            <w:r w:rsidRPr="00D93BE4">
              <w:rPr>
                <w:rFonts w:ascii="Poppins" w:hAnsi="Poppins" w:cs="Poppins"/>
              </w:rPr>
              <w:t>active.</w:t>
            </w:r>
            <w:r w:rsidR="00D474C3">
              <w:rPr>
                <w:rFonts w:ascii="Poppins" w:hAnsi="Poppins" w:cs="Poppins"/>
              </w:rPr>
              <w:t xml:space="preserve"> </w:t>
            </w:r>
          </w:p>
        </w:tc>
        <w:tc>
          <w:tcPr>
            <w:tcW w:w="1050" w:type="dxa"/>
            <w:tcBorders>
              <w:bottom w:val="single" w:sz="4" w:space="0" w:color="auto"/>
            </w:tcBorders>
            <w:shd w:val="clear" w:color="auto" w:fill="D6EBC4" w:themeFill="accent1" w:themeFillTint="66"/>
          </w:tcPr>
          <w:p w14:paraId="6E6E6166" w14:textId="1F036259" w:rsidR="008C2994" w:rsidRPr="00D93BE4" w:rsidRDefault="00ED625B"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 track</w:t>
            </w:r>
          </w:p>
        </w:tc>
      </w:tr>
      <w:tr w:rsidR="008C2994" w:rsidRPr="006949AB" w14:paraId="5C6E64BA" w14:textId="17C28113" w:rsidTr="676337C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0" w:type="dxa"/>
            <w:vMerge/>
            <w:hideMark/>
          </w:tcPr>
          <w:p w14:paraId="1B69C675" w14:textId="77777777" w:rsidR="008C2994" w:rsidRPr="006949AB" w:rsidRDefault="008C2994" w:rsidP="008C2994">
            <w:pPr>
              <w:pStyle w:val="BodyText"/>
              <w:rPr>
                <w:rFonts w:ascii="Poppins" w:hAnsi="Poppins" w:cs="Poppins"/>
              </w:rPr>
            </w:pPr>
          </w:p>
        </w:tc>
        <w:tc>
          <w:tcPr>
            <w:tcW w:w="2213" w:type="dxa"/>
            <w:shd w:val="clear" w:color="auto" w:fill="auto"/>
            <w:hideMark/>
          </w:tcPr>
          <w:p w14:paraId="43EF3585" w14:textId="29FBD305"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949AB">
              <w:rPr>
                <w:rFonts w:ascii="Poppins" w:hAnsi="Poppins" w:cs="Poppins"/>
              </w:rPr>
              <w:t xml:space="preserve">4.3 </w:t>
            </w:r>
            <w:r w:rsidRPr="00C96831">
              <w:rPr>
                <w:rFonts w:ascii="Poppins" w:hAnsi="Poppins" w:cs="Poppins"/>
              </w:rPr>
              <w:t>Engage with Aboriginal and Torres Strait Islander staff and/or Aboriginal and Torres Strait Islander advisors to consult on our anti-discrimination policy.</w:t>
            </w:r>
          </w:p>
        </w:tc>
        <w:tc>
          <w:tcPr>
            <w:tcW w:w="4205" w:type="dxa"/>
            <w:shd w:val="clear" w:color="auto" w:fill="FFFFFF" w:themeFill="background1"/>
            <w:hideMark/>
          </w:tcPr>
          <w:p w14:paraId="4E3B851C" w14:textId="0FBF723F" w:rsidR="008C2994" w:rsidRPr="006949AB" w:rsidRDefault="008C2994"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1471A9">
              <w:rPr>
                <w:rFonts w:ascii="Poppins" w:hAnsi="Poppins" w:cs="Poppins"/>
              </w:rPr>
              <w:t>Staff consultation has</w:t>
            </w:r>
            <w:r w:rsidR="00D474C3">
              <w:rPr>
                <w:rFonts w:ascii="Poppins" w:hAnsi="Poppins" w:cs="Poppins"/>
              </w:rPr>
              <w:t xml:space="preserve"> </w:t>
            </w:r>
            <w:r w:rsidRPr="001471A9">
              <w:rPr>
                <w:rFonts w:ascii="Poppins" w:hAnsi="Poppins" w:cs="Poppins"/>
              </w:rPr>
              <w:t>commenced</w:t>
            </w:r>
            <w:r w:rsidR="00D474C3">
              <w:rPr>
                <w:rFonts w:ascii="Poppins" w:hAnsi="Poppins" w:cs="Poppins"/>
              </w:rPr>
              <w:t xml:space="preserve"> </w:t>
            </w:r>
            <w:r w:rsidRPr="001471A9">
              <w:rPr>
                <w:rFonts w:ascii="Poppins" w:hAnsi="Poppins" w:cs="Poppins"/>
              </w:rPr>
              <w:t>in certain areas like</w:t>
            </w:r>
            <w:r w:rsidR="00D474C3">
              <w:rPr>
                <w:rFonts w:ascii="Poppins" w:hAnsi="Poppins" w:cs="Poppins"/>
              </w:rPr>
              <w:t xml:space="preserve"> </w:t>
            </w:r>
            <w:r w:rsidRPr="001471A9">
              <w:rPr>
                <w:rFonts w:ascii="Poppins" w:hAnsi="Poppins" w:cs="Poppins"/>
              </w:rPr>
              <w:t>recruitment.</w:t>
            </w:r>
          </w:p>
        </w:tc>
        <w:tc>
          <w:tcPr>
            <w:tcW w:w="1050" w:type="dxa"/>
            <w:shd w:val="clear" w:color="auto" w:fill="D6EBC4" w:themeFill="accent1" w:themeFillTint="66"/>
          </w:tcPr>
          <w:p w14:paraId="1BDE73B9" w14:textId="76560528" w:rsidR="008C2994" w:rsidRPr="001471A9" w:rsidRDefault="00ED625B" w:rsidP="008C2994">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 track</w:t>
            </w:r>
          </w:p>
        </w:tc>
      </w:tr>
      <w:tr w:rsidR="008C2994" w:rsidRPr="006949AB" w14:paraId="0CBCD080" w14:textId="51EF4E7A" w:rsidTr="676337C4">
        <w:trPr>
          <w:trHeight w:val="20"/>
        </w:trPr>
        <w:tc>
          <w:tcPr>
            <w:cnfStyle w:val="001000000000" w:firstRow="0" w:lastRow="0" w:firstColumn="1" w:lastColumn="0" w:oddVBand="0" w:evenVBand="0" w:oddHBand="0" w:evenHBand="0" w:firstRowFirstColumn="0" w:firstRowLastColumn="0" w:lastRowFirstColumn="0" w:lastRowLastColumn="0"/>
            <w:tcW w:w="2230" w:type="dxa"/>
            <w:vMerge/>
          </w:tcPr>
          <w:p w14:paraId="382273DF" w14:textId="77777777" w:rsidR="008C2994" w:rsidRPr="006949AB" w:rsidRDefault="008C2994" w:rsidP="008C2994">
            <w:pPr>
              <w:pStyle w:val="BodyText"/>
              <w:rPr>
                <w:rFonts w:ascii="Poppins" w:hAnsi="Poppins" w:cs="Poppins"/>
              </w:rPr>
            </w:pPr>
          </w:p>
        </w:tc>
        <w:tc>
          <w:tcPr>
            <w:tcW w:w="2213" w:type="dxa"/>
            <w:shd w:val="clear" w:color="auto" w:fill="auto"/>
          </w:tcPr>
          <w:p w14:paraId="1CC415D2" w14:textId="35E7D7C3" w:rsidR="008C2994" w:rsidRPr="006949AB"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4.4 </w:t>
            </w:r>
            <w:r w:rsidRPr="00151DB5">
              <w:rPr>
                <w:rFonts w:ascii="Poppins" w:hAnsi="Poppins" w:cs="Poppins"/>
              </w:rPr>
              <w:t>Educate senior leaders on the effects of racism.  </w:t>
            </w:r>
          </w:p>
        </w:tc>
        <w:tc>
          <w:tcPr>
            <w:tcW w:w="4205" w:type="dxa"/>
            <w:shd w:val="clear" w:color="auto" w:fill="FFFFFF" w:themeFill="background1"/>
          </w:tcPr>
          <w:p w14:paraId="2985CAAB" w14:textId="1DCFEB37" w:rsidR="008C2994" w:rsidRPr="001471A9" w:rsidRDefault="008C2994"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151DB5">
              <w:rPr>
                <w:rFonts w:ascii="Poppins" w:hAnsi="Poppins" w:cs="Poppins"/>
              </w:rPr>
              <w:t>Newly designed</w:t>
            </w:r>
            <w:r w:rsidR="00D474C3">
              <w:rPr>
                <w:rFonts w:ascii="Poppins" w:hAnsi="Poppins" w:cs="Poppins"/>
              </w:rPr>
              <w:t xml:space="preserve"> </w:t>
            </w:r>
            <w:r w:rsidRPr="00151DB5">
              <w:rPr>
                <w:rFonts w:ascii="Poppins" w:hAnsi="Poppins" w:cs="Poppins"/>
              </w:rPr>
              <w:t>training opportunities are</w:t>
            </w:r>
            <w:r w:rsidR="00E02AFD">
              <w:rPr>
                <w:rFonts w:ascii="Poppins" w:hAnsi="Poppins" w:cs="Poppins"/>
              </w:rPr>
              <w:t xml:space="preserve"> </w:t>
            </w:r>
            <w:r w:rsidRPr="00151DB5">
              <w:rPr>
                <w:rFonts w:ascii="Poppins" w:hAnsi="Poppins" w:cs="Poppins"/>
              </w:rPr>
              <w:t>currently being</w:t>
            </w:r>
            <w:r w:rsidR="00E02AFD">
              <w:rPr>
                <w:rFonts w:ascii="Poppins" w:hAnsi="Poppins" w:cs="Poppins"/>
              </w:rPr>
              <w:t xml:space="preserve"> </w:t>
            </w:r>
            <w:r w:rsidRPr="00151DB5">
              <w:rPr>
                <w:rFonts w:ascii="Poppins" w:hAnsi="Poppins" w:cs="Poppins"/>
              </w:rPr>
              <w:t>created</w:t>
            </w:r>
            <w:r w:rsidR="00E02AFD">
              <w:rPr>
                <w:rFonts w:ascii="Poppins" w:hAnsi="Poppins" w:cs="Poppins"/>
              </w:rPr>
              <w:t xml:space="preserve"> </w:t>
            </w:r>
            <w:r w:rsidRPr="00151DB5">
              <w:rPr>
                <w:rFonts w:ascii="Poppins" w:hAnsi="Poppins" w:cs="Poppins"/>
              </w:rPr>
              <w:t>for senior leaders</w:t>
            </w:r>
            <w:r w:rsidR="00E02AFD">
              <w:rPr>
                <w:rFonts w:ascii="Poppins" w:hAnsi="Poppins" w:cs="Poppins"/>
              </w:rPr>
              <w:t xml:space="preserve"> </w:t>
            </w:r>
            <w:r w:rsidRPr="00151DB5">
              <w:rPr>
                <w:rFonts w:ascii="Poppins" w:hAnsi="Poppins" w:cs="Poppins"/>
              </w:rPr>
              <w:t>which will form a new leadership development program.</w:t>
            </w:r>
            <w:r w:rsidR="00E02AFD">
              <w:rPr>
                <w:rFonts w:ascii="Poppins" w:hAnsi="Poppins" w:cs="Poppins"/>
              </w:rPr>
              <w:t xml:space="preserve"> </w:t>
            </w:r>
            <w:r w:rsidRPr="00151DB5">
              <w:rPr>
                <w:rFonts w:ascii="Poppins" w:hAnsi="Poppins" w:cs="Poppins"/>
              </w:rPr>
              <w:t>This program will include</w:t>
            </w:r>
            <w:r w:rsidR="00E02AFD">
              <w:rPr>
                <w:rFonts w:ascii="Poppins" w:hAnsi="Poppins" w:cs="Poppins"/>
              </w:rPr>
              <w:t xml:space="preserve"> </w:t>
            </w:r>
            <w:r w:rsidRPr="00151DB5">
              <w:rPr>
                <w:rFonts w:ascii="Poppins" w:hAnsi="Poppins" w:cs="Poppins"/>
              </w:rPr>
              <w:t>a session on Inclusive Leadership. </w:t>
            </w:r>
          </w:p>
        </w:tc>
        <w:tc>
          <w:tcPr>
            <w:tcW w:w="1050" w:type="dxa"/>
            <w:shd w:val="clear" w:color="auto" w:fill="D6EBC4" w:themeFill="accent1" w:themeFillTint="66"/>
          </w:tcPr>
          <w:p w14:paraId="64A276CF" w14:textId="3D656343" w:rsidR="008C2994" w:rsidRPr="00151DB5" w:rsidRDefault="00ED625B" w:rsidP="008C299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 track</w:t>
            </w:r>
          </w:p>
        </w:tc>
      </w:tr>
    </w:tbl>
    <w:p w14:paraId="6C687E2C" w14:textId="78E33FA2" w:rsidR="00583B6B" w:rsidRPr="004B6088" w:rsidRDefault="00583B6B" w:rsidP="004B6088">
      <w:pPr>
        <w:pStyle w:val="BodyText"/>
        <w:jc w:val="both"/>
        <w:rPr>
          <w:rFonts w:ascii="Poppins" w:hAnsi="Poppins" w:cs="Poppins"/>
          <w:sz w:val="20"/>
          <w:szCs w:val="20"/>
        </w:rPr>
      </w:pPr>
    </w:p>
    <w:tbl>
      <w:tblPr>
        <w:tblStyle w:val="TableGrid"/>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006"/>
        <w:gridCol w:w="4209"/>
        <w:gridCol w:w="1095"/>
      </w:tblGrid>
      <w:tr w:rsidR="00E36ED6" w:rsidRPr="006949AB" w14:paraId="35F4801F" w14:textId="5366FA26" w:rsidTr="5E042A8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02" w:type="dxa"/>
            <w:gridSpan w:val="4"/>
            <w:shd w:val="clear" w:color="auto" w:fill="auto"/>
          </w:tcPr>
          <w:p w14:paraId="30976C8E" w14:textId="3C310E43" w:rsidR="00E36ED6" w:rsidRPr="00E36ED6" w:rsidRDefault="00E36ED6" w:rsidP="008614D2">
            <w:pPr>
              <w:pStyle w:val="BodyText"/>
              <w:rPr>
                <w:rFonts w:ascii="Poppins" w:hAnsi="Poppins" w:cs="Poppins"/>
                <w:b w:val="0"/>
                <w:bCs/>
                <w:sz w:val="24"/>
                <w:szCs w:val="24"/>
              </w:rPr>
            </w:pPr>
            <w:r w:rsidRPr="008938DA">
              <w:rPr>
                <w:rFonts w:ascii="Poppins" w:hAnsi="Poppins" w:cs="Poppins"/>
                <w:bCs/>
                <w:color w:val="auto"/>
                <w:sz w:val="24"/>
                <w:szCs w:val="24"/>
              </w:rPr>
              <w:t>Respect</w:t>
            </w:r>
          </w:p>
        </w:tc>
      </w:tr>
      <w:tr w:rsidR="00E36ED6" w:rsidRPr="006949AB" w14:paraId="092DB8A1" w14:textId="77777777"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tcBorders>
              <w:bottom w:val="single" w:sz="4" w:space="0" w:color="auto"/>
            </w:tcBorders>
            <w:shd w:val="clear" w:color="auto" w:fill="auto"/>
          </w:tcPr>
          <w:p w14:paraId="7671032D" w14:textId="2ECAE607" w:rsidR="00E36ED6" w:rsidRDefault="00E36ED6" w:rsidP="00E36ED6">
            <w:pPr>
              <w:pStyle w:val="BodyText"/>
              <w:rPr>
                <w:rFonts w:ascii="Poppins" w:hAnsi="Poppins" w:cs="Poppins"/>
              </w:rPr>
            </w:pPr>
            <w:r>
              <w:rPr>
                <w:rFonts w:ascii="Poppins" w:hAnsi="Poppins" w:cs="Poppins"/>
                <w:bCs/>
              </w:rPr>
              <w:t>Action</w:t>
            </w:r>
          </w:p>
        </w:tc>
        <w:tc>
          <w:tcPr>
            <w:tcW w:w="2006" w:type="dxa"/>
            <w:tcBorders>
              <w:bottom w:val="single" w:sz="4" w:space="0" w:color="auto"/>
            </w:tcBorders>
            <w:shd w:val="clear" w:color="auto" w:fill="auto"/>
          </w:tcPr>
          <w:p w14:paraId="6893C73D" w14:textId="38E75750" w:rsidR="00E36ED6"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bCs/>
              </w:rPr>
              <w:t>Deliverable</w:t>
            </w:r>
          </w:p>
        </w:tc>
        <w:tc>
          <w:tcPr>
            <w:tcW w:w="4209" w:type="dxa"/>
            <w:tcBorders>
              <w:bottom w:val="single" w:sz="4" w:space="0" w:color="auto"/>
            </w:tcBorders>
            <w:shd w:val="clear" w:color="auto" w:fill="FFFFFF" w:themeFill="background1"/>
          </w:tcPr>
          <w:p w14:paraId="084F4C99" w14:textId="1E0D5774" w:rsidR="00E36ED6" w:rsidRPr="00FF4C2F"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bCs/>
              </w:rPr>
              <w:t>Annual Report</w:t>
            </w:r>
          </w:p>
        </w:tc>
        <w:tc>
          <w:tcPr>
            <w:tcW w:w="1095" w:type="dxa"/>
            <w:tcBorders>
              <w:bottom w:val="single" w:sz="4" w:space="0" w:color="auto"/>
            </w:tcBorders>
            <w:shd w:val="clear" w:color="auto" w:fill="FFFFFF" w:themeFill="background1"/>
          </w:tcPr>
          <w:p w14:paraId="653A5076" w14:textId="00E0CA3F" w:rsidR="00E36ED6" w:rsidRPr="00FF4C2F"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bCs/>
              </w:rPr>
              <w:t>Status</w:t>
            </w:r>
          </w:p>
        </w:tc>
      </w:tr>
      <w:tr w:rsidR="00E36ED6" w:rsidRPr="006949AB" w14:paraId="1805304C" w14:textId="059C502D"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val="restart"/>
            <w:tcBorders>
              <w:bottom w:val="single" w:sz="4" w:space="0" w:color="auto"/>
            </w:tcBorders>
            <w:shd w:val="clear" w:color="auto" w:fill="auto"/>
            <w:hideMark/>
          </w:tcPr>
          <w:p w14:paraId="121B2072" w14:textId="73F68A3C" w:rsidR="00E36ED6" w:rsidRPr="006949AB" w:rsidRDefault="00E36ED6" w:rsidP="00E36ED6">
            <w:pPr>
              <w:pStyle w:val="BodyText"/>
              <w:rPr>
                <w:rFonts w:ascii="Poppins" w:hAnsi="Poppins" w:cs="Poppins"/>
              </w:rPr>
            </w:pPr>
            <w:r>
              <w:rPr>
                <w:rFonts w:ascii="Poppins" w:hAnsi="Poppins" w:cs="Poppins"/>
              </w:rPr>
              <w:t>5</w:t>
            </w:r>
            <w:r w:rsidRPr="006949AB">
              <w:rPr>
                <w:rFonts w:ascii="Poppins" w:hAnsi="Poppins" w:cs="Poppins"/>
              </w:rPr>
              <w:t xml:space="preserve"> </w:t>
            </w:r>
            <w:r w:rsidRPr="005A63A5">
              <w:rPr>
                <w:rFonts w:ascii="Poppins" w:hAnsi="Poppins" w:cs="Poppins"/>
              </w:rPr>
              <w:t>Increase understanding, value and recognition of Aboriginal and Torres Strait Islander cultures, histories,</w:t>
            </w:r>
            <w:r w:rsidR="00E02AFD">
              <w:rPr>
                <w:rFonts w:ascii="Poppins" w:hAnsi="Poppins" w:cs="Poppins"/>
              </w:rPr>
              <w:t xml:space="preserve"> </w:t>
            </w:r>
            <w:r w:rsidRPr="005A63A5">
              <w:rPr>
                <w:rFonts w:ascii="Poppins" w:hAnsi="Poppins" w:cs="Poppins"/>
              </w:rPr>
              <w:t>knowledge</w:t>
            </w:r>
            <w:r w:rsidR="00E02AFD">
              <w:rPr>
                <w:rFonts w:ascii="Poppins" w:hAnsi="Poppins" w:cs="Poppins"/>
              </w:rPr>
              <w:t xml:space="preserve"> </w:t>
            </w:r>
            <w:r w:rsidRPr="005A63A5">
              <w:rPr>
                <w:rFonts w:ascii="Poppins" w:hAnsi="Poppins" w:cs="Poppins"/>
              </w:rPr>
              <w:t>and rights through cultural learning. </w:t>
            </w:r>
          </w:p>
        </w:tc>
        <w:tc>
          <w:tcPr>
            <w:tcW w:w="2006" w:type="dxa"/>
            <w:tcBorders>
              <w:bottom w:val="single" w:sz="4" w:space="0" w:color="auto"/>
            </w:tcBorders>
            <w:shd w:val="clear" w:color="auto" w:fill="auto"/>
            <w:hideMark/>
          </w:tcPr>
          <w:p w14:paraId="35B865F8" w14:textId="3454E2DC"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5</w:t>
            </w:r>
            <w:r w:rsidRPr="006949AB">
              <w:rPr>
                <w:rFonts w:ascii="Poppins" w:hAnsi="Poppins" w:cs="Poppins"/>
              </w:rPr>
              <w:t xml:space="preserve">.1 </w:t>
            </w:r>
            <w:r w:rsidRPr="0047077E">
              <w:rPr>
                <w:rFonts w:ascii="Poppins" w:hAnsi="Poppins" w:cs="Poppins"/>
              </w:rPr>
              <w:t>Conduct a review of cultural learning needs within our organisation.</w:t>
            </w:r>
          </w:p>
        </w:tc>
        <w:tc>
          <w:tcPr>
            <w:tcW w:w="4209" w:type="dxa"/>
            <w:tcBorders>
              <w:bottom w:val="single" w:sz="4" w:space="0" w:color="auto"/>
            </w:tcBorders>
            <w:shd w:val="clear" w:color="auto" w:fill="FFFFFF" w:themeFill="background1"/>
            <w:hideMark/>
          </w:tcPr>
          <w:p w14:paraId="12711A28" w14:textId="052DC0E3" w:rsidR="00E36ED6" w:rsidRPr="006949AB" w:rsidRDefault="1E98204B"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1C384DE0">
              <w:rPr>
                <w:rFonts w:ascii="Poppins" w:hAnsi="Poppins" w:cs="Poppins"/>
              </w:rPr>
              <w:t>Working Better Across Cultures</w:t>
            </w:r>
            <w:r w:rsidR="042257BD" w:rsidRPr="1C384DE0">
              <w:rPr>
                <w:rFonts w:ascii="Poppins" w:hAnsi="Poppins" w:cs="Poppins"/>
              </w:rPr>
              <w:t xml:space="preserve">, </w:t>
            </w:r>
            <w:r w:rsidRPr="1C384DE0">
              <w:rPr>
                <w:rFonts w:ascii="Poppins" w:hAnsi="Poppins" w:cs="Poppins"/>
              </w:rPr>
              <w:t>Way We Lead</w:t>
            </w:r>
            <w:r w:rsidR="19CAB06B" w:rsidRPr="1C384DE0">
              <w:rPr>
                <w:rFonts w:ascii="Poppins" w:hAnsi="Poppins" w:cs="Poppins"/>
              </w:rPr>
              <w:t xml:space="preserve"> and Multicultural e-learn</w:t>
            </w:r>
            <w:r w:rsidRPr="1C384DE0">
              <w:rPr>
                <w:rFonts w:ascii="Poppins" w:hAnsi="Poppins" w:cs="Poppins"/>
              </w:rPr>
              <w:t xml:space="preserve"> are </w:t>
            </w:r>
            <w:r w:rsidR="2185675E" w:rsidRPr="1C384DE0">
              <w:rPr>
                <w:rFonts w:ascii="Poppins" w:hAnsi="Poppins" w:cs="Poppins"/>
              </w:rPr>
              <w:t xml:space="preserve">three </w:t>
            </w:r>
            <w:r w:rsidR="33CC69DD" w:rsidRPr="1C384DE0">
              <w:rPr>
                <w:rFonts w:ascii="Poppins" w:hAnsi="Poppins" w:cs="Poppins"/>
              </w:rPr>
              <w:t>n</w:t>
            </w:r>
            <w:r w:rsidR="00E36ED6" w:rsidRPr="1C384DE0">
              <w:rPr>
                <w:rFonts w:ascii="Poppins" w:hAnsi="Poppins" w:cs="Poppins"/>
              </w:rPr>
              <w:t xml:space="preserve">ew learning programs </w:t>
            </w:r>
            <w:r w:rsidR="5285AD59" w:rsidRPr="1C384DE0">
              <w:rPr>
                <w:rFonts w:ascii="Poppins" w:hAnsi="Poppins" w:cs="Poppins"/>
              </w:rPr>
              <w:t xml:space="preserve">that </w:t>
            </w:r>
            <w:r w:rsidR="05BD1EE7" w:rsidRPr="1C384DE0">
              <w:rPr>
                <w:rFonts w:ascii="Poppins" w:hAnsi="Poppins" w:cs="Poppins"/>
              </w:rPr>
              <w:t xml:space="preserve">have been </w:t>
            </w:r>
            <w:r w:rsidR="00E36ED6" w:rsidRPr="1C384DE0">
              <w:rPr>
                <w:rFonts w:ascii="Poppins" w:hAnsi="Poppins" w:cs="Poppins"/>
              </w:rPr>
              <w:t>added</w:t>
            </w:r>
            <w:r w:rsidR="7216DEA5" w:rsidRPr="1C384DE0">
              <w:rPr>
                <w:rFonts w:ascii="Poppins" w:hAnsi="Poppins" w:cs="Poppins"/>
              </w:rPr>
              <w:t xml:space="preserve"> to the </w:t>
            </w:r>
            <w:r w:rsidR="39546F94" w:rsidRPr="1C384DE0">
              <w:rPr>
                <w:rFonts w:ascii="Poppins" w:hAnsi="Poppins" w:cs="Poppins"/>
              </w:rPr>
              <w:t>organisation's</w:t>
            </w:r>
            <w:r w:rsidR="7216DEA5" w:rsidRPr="1C384DE0">
              <w:rPr>
                <w:rFonts w:ascii="Poppins" w:hAnsi="Poppins" w:cs="Poppins"/>
              </w:rPr>
              <w:t xml:space="preserve"> offerings</w:t>
            </w:r>
            <w:r w:rsidR="002C75D5">
              <w:rPr>
                <w:rFonts w:ascii="Poppins" w:hAnsi="Poppins" w:cs="Poppins"/>
              </w:rPr>
              <w:t>.</w:t>
            </w:r>
          </w:p>
        </w:tc>
        <w:tc>
          <w:tcPr>
            <w:tcW w:w="1095" w:type="dxa"/>
            <w:tcBorders>
              <w:bottom w:val="single" w:sz="4" w:space="0" w:color="auto"/>
            </w:tcBorders>
            <w:shd w:val="clear" w:color="auto" w:fill="D6EBC4" w:themeFill="accent1" w:themeFillTint="66"/>
          </w:tcPr>
          <w:p w14:paraId="58BC8FD5" w14:textId="4FDA3890" w:rsidR="00E36ED6" w:rsidRPr="00FF4C2F" w:rsidRDefault="262075C1"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7E33A643">
              <w:rPr>
                <w:rFonts w:ascii="Poppins" w:hAnsi="Poppins" w:cs="Poppins"/>
              </w:rPr>
              <w:t>On</w:t>
            </w:r>
            <w:r w:rsidR="19F31F00" w:rsidRPr="7E33A643">
              <w:rPr>
                <w:rFonts w:ascii="Poppins" w:hAnsi="Poppins" w:cs="Poppins"/>
              </w:rPr>
              <w:t xml:space="preserve"> track</w:t>
            </w:r>
          </w:p>
        </w:tc>
      </w:tr>
      <w:tr w:rsidR="00E36ED6" w:rsidRPr="006949AB" w14:paraId="61E8DBC1" w14:textId="24F032A4"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66969B8A" w14:textId="77777777" w:rsidR="00E36ED6" w:rsidRPr="006949AB" w:rsidRDefault="00E36ED6" w:rsidP="00E36ED6">
            <w:pPr>
              <w:pStyle w:val="BodyText"/>
              <w:rPr>
                <w:rFonts w:ascii="Poppins" w:hAnsi="Poppins" w:cs="Poppins"/>
              </w:rPr>
            </w:pPr>
          </w:p>
        </w:tc>
        <w:tc>
          <w:tcPr>
            <w:tcW w:w="2006" w:type="dxa"/>
            <w:tcBorders>
              <w:bottom w:val="single" w:sz="4" w:space="0" w:color="auto"/>
            </w:tcBorders>
            <w:shd w:val="clear" w:color="auto" w:fill="auto"/>
            <w:hideMark/>
          </w:tcPr>
          <w:p w14:paraId="3AD9DED7" w14:textId="45ABF45D"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5</w:t>
            </w:r>
            <w:r w:rsidRPr="006949AB">
              <w:rPr>
                <w:rFonts w:ascii="Poppins" w:hAnsi="Poppins" w:cs="Poppins"/>
              </w:rPr>
              <w:t xml:space="preserve">.2 </w:t>
            </w:r>
            <w:r w:rsidRPr="000345B7">
              <w:rPr>
                <w:rFonts w:ascii="Poppins" w:hAnsi="Poppins" w:cs="Poppins"/>
              </w:rPr>
              <w:t>Consult local Traditional Owners and/or Aboriginal and Torres Strait Islander advisors to inform our cultural learning strategy. </w:t>
            </w:r>
          </w:p>
        </w:tc>
        <w:tc>
          <w:tcPr>
            <w:tcW w:w="4209" w:type="dxa"/>
            <w:tcBorders>
              <w:bottom w:val="single" w:sz="4" w:space="0" w:color="auto"/>
            </w:tcBorders>
            <w:shd w:val="clear" w:color="auto" w:fill="FFFFFF" w:themeFill="background1"/>
            <w:hideMark/>
          </w:tcPr>
          <w:p w14:paraId="5A3C99E5" w14:textId="38E436A6"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0345B7">
              <w:rPr>
                <w:rFonts w:ascii="Poppins" w:hAnsi="Poppins" w:cs="Poppins"/>
              </w:rPr>
              <w:t>Due to be actioned in year 2. </w:t>
            </w:r>
          </w:p>
        </w:tc>
        <w:tc>
          <w:tcPr>
            <w:tcW w:w="1095" w:type="dxa"/>
            <w:tcBorders>
              <w:bottom w:val="single" w:sz="4" w:space="0" w:color="auto"/>
            </w:tcBorders>
            <w:shd w:val="clear" w:color="auto" w:fill="FFE8BC" w:themeFill="accent3" w:themeFillTint="66"/>
          </w:tcPr>
          <w:p w14:paraId="2DD382F7" w14:textId="5D07C8E8" w:rsidR="00E36ED6" w:rsidRPr="000345B7" w:rsidRDefault="003E42C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Monitor</w:t>
            </w:r>
          </w:p>
        </w:tc>
      </w:tr>
      <w:tr w:rsidR="00E36ED6" w:rsidRPr="006949AB" w14:paraId="1AABF868" w14:textId="566A4155"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5FBA0DAD" w14:textId="77777777" w:rsidR="00E36ED6" w:rsidRPr="006949AB" w:rsidRDefault="00E36ED6" w:rsidP="00E36ED6">
            <w:pPr>
              <w:pStyle w:val="BodyText"/>
              <w:rPr>
                <w:rFonts w:ascii="Poppins" w:hAnsi="Poppins" w:cs="Poppins"/>
              </w:rPr>
            </w:pPr>
          </w:p>
        </w:tc>
        <w:tc>
          <w:tcPr>
            <w:tcW w:w="2006" w:type="dxa"/>
            <w:tcBorders>
              <w:bottom w:val="single" w:sz="4" w:space="0" w:color="auto"/>
            </w:tcBorders>
            <w:shd w:val="clear" w:color="auto" w:fill="auto"/>
            <w:hideMark/>
          </w:tcPr>
          <w:p w14:paraId="7FAB8FC1" w14:textId="0C5B696A"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5.</w:t>
            </w:r>
            <w:r w:rsidRPr="006949AB">
              <w:rPr>
                <w:rFonts w:ascii="Poppins" w:hAnsi="Poppins" w:cs="Poppins"/>
              </w:rPr>
              <w:t xml:space="preserve">3 </w:t>
            </w:r>
            <w:r w:rsidRPr="009255B0">
              <w:rPr>
                <w:rFonts w:ascii="Poppins" w:hAnsi="Poppins" w:cs="Poppins"/>
              </w:rPr>
              <w:t>Develop, implement, and communicate a cultural learning strategy document for our staff. </w:t>
            </w:r>
          </w:p>
        </w:tc>
        <w:tc>
          <w:tcPr>
            <w:tcW w:w="4209" w:type="dxa"/>
            <w:tcBorders>
              <w:bottom w:val="single" w:sz="4" w:space="0" w:color="auto"/>
            </w:tcBorders>
            <w:shd w:val="clear" w:color="auto" w:fill="FFFFFF" w:themeFill="background1"/>
            <w:hideMark/>
          </w:tcPr>
          <w:p w14:paraId="4B0F07D3" w14:textId="5516DA3D"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9255B0">
              <w:rPr>
                <w:rFonts w:ascii="Poppins" w:hAnsi="Poppins" w:cs="Poppins"/>
              </w:rPr>
              <w:t>Cultural safety framework in place now need to move to learning strategy. Learning programs currently in place but need to review and consult.  </w:t>
            </w:r>
          </w:p>
        </w:tc>
        <w:tc>
          <w:tcPr>
            <w:tcW w:w="1095" w:type="dxa"/>
            <w:tcBorders>
              <w:bottom w:val="single" w:sz="4" w:space="0" w:color="auto"/>
            </w:tcBorders>
            <w:shd w:val="clear" w:color="auto" w:fill="D6EBC4" w:themeFill="accent1" w:themeFillTint="66"/>
          </w:tcPr>
          <w:p w14:paraId="45594E64" w14:textId="1A6A635A" w:rsidR="00E36ED6" w:rsidRPr="009255B0" w:rsidRDefault="003E42C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 track</w:t>
            </w:r>
          </w:p>
        </w:tc>
      </w:tr>
      <w:tr w:rsidR="00E36ED6" w:rsidRPr="006949AB" w14:paraId="68EE274D" w14:textId="381A8661"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0A6C195C" w14:textId="77777777" w:rsidR="00E36ED6" w:rsidRPr="006949AB" w:rsidRDefault="00E36ED6" w:rsidP="00E36ED6">
            <w:pPr>
              <w:pStyle w:val="BodyText"/>
              <w:rPr>
                <w:rFonts w:ascii="Poppins" w:hAnsi="Poppins" w:cs="Poppins"/>
              </w:rPr>
            </w:pPr>
          </w:p>
        </w:tc>
        <w:tc>
          <w:tcPr>
            <w:tcW w:w="2006" w:type="dxa"/>
            <w:shd w:val="clear" w:color="auto" w:fill="auto"/>
          </w:tcPr>
          <w:p w14:paraId="70158FF2" w14:textId="0E12A15C"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5.4 </w:t>
            </w:r>
            <w:r w:rsidRPr="00583B6B">
              <w:rPr>
                <w:rFonts w:ascii="Poppins" w:hAnsi="Poppins" w:cs="Poppins"/>
              </w:rPr>
              <w:t>Provide opportunities for RAP Working Group members, HR</w:t>
            </w:r>
            <w:r w:rsidR="00F17A69">
              <w:rPr>
                <w:rFonts w:ascii="Poppins" w:hAnsi="Poppins" w:cs="Poppins"/>
              </w:rPr>
              <w:t xml:space="preserve"> </w:t>
            </w:r>
            <w:r w:rsidRPr="00583B6B">
              <w:rPr>
                <w:rFonts w:ascii="Poppins" w:hAnsi="Poppins" w:cs="Poppins"/>
              </w:rPr>
              <w:t>managers</w:t>
            </w:r>
            <w:r w:rsidR="00F17A69">
              <w:rPr>
                <w:rFonts w:ascii="Poppins" w:hAnsi="Poppins" w:cs="Poppins"/>
              </w:rPr>
              <w:t xml:space="preserve"> </w:t>
            </w:r>
            <w:r w:rsidRPr="00583B6B">
              <w:rPr>
                <w:rFonts w:ascii="Poppins" w:hAnsi="Poppins" w:cs="Poppins"/>
              </w:rPr>
              <w:t xml:space="preserve">and other key leadership staff </w:t>
            </w:r>
            <w:r w:rsidRPr="00583B6B">
              <w:rPr>
                <w:rFonts w:ascii="Poppins" w:hAnsi="Poppins" w:cs="Poppins"/>
              </w:rPr>
              <w:lastRenderedPageBreak/>
              <w:t>to</w:t>
            </w:r>
            <w:r w:rsidR="00F17A69">
              <w:rPr>
                <w:rFonts w:ascii="Poppins" w:hAnsi="Poppins" w:cs="Poppins"/>
              </w:rPr>
              <w:t xml:space="preserve"> </w:t>
            </w:r>
            <w:r w:rsidRPr="00583B6B">
              <w:rPr>
                <w:rFonts w:ascii="Poppins" w:hAnsi="Poppins" w:cs="Poppins"/>
              </w:rPr>
              <w:t>participate in formal and structured cultural learning. </w:t>
            </w:r>
          </w:p>
        </w:tc>
        <w:tc>
          <w:tcPr>
            <w:tcW w:w="4209" w:type="dxa"/>
            <w:shd w:val="clear" w:color="auto" w:fill="FFFFFF" w:themeFill="background1"/>
          </w:tcPr>
          <w:p w14:paraId="06403998" w14:textId="66CE6509"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583B6B">
              <w:rPr>
                <w:rFonts w:ascii="Poppins" w:hAnsi="Poppins" w:cs="Poppins"/>
              </w:rPr>
              <w:lastRenderedPageBreak/>
              <w:t>During NAIDOC Week 2025</w:t>
            </w:r>
            <w:r w:rsidR="00F17A69">
              <w:rPr>
                <w:rFonts w:ascii="Poppins" w:hAnsi="Poppins" w:cs="Poppins"/>
              </w:rPr>
              <w:t xml:space="preserve"> </w:t>
            </w:r>
            <w:r w:rsidRPr="00583B6B">
              <w:rPr>
                <w:rFonts w:ascii="Poppins" w:hAnsi="Poppins" w:cs="Poppins"/>
              </w:rPr>
              <w:t>P&amp;C planned and delivered</w:t>
            </w:r>
            <w:r w:rsidR="00F17A69">
              <w:rPr>
                <w:rFonts w:ascii="Poppins" w:hAnsi="Poppins" w:cs="Poppins"/>
              </w:rPr>
              <w:t xml:space="preserve"> </w:t>
            </w:r>
            <w:r w:rsidRPr="00583B6B">
              <w:rPr>
                <w:rFonts w:ascii="Poppins" w:hAnsi="Poppins" w:cs="Poppins"/>
              </w:rPr>
              <w:t>an event called ‘You Can’t Ask That’ for</w:t>
            </w:r>
            <w:r w:rsidR="00F17A69">
              <w:rPr>
                <w:rFonts w:ascii="Poppins" w:hAnsi="Poppins" w:cs="Poppins"/>
              </w:rPr>
              <w:t xml:space="preserve"> </w:t>
            </w:r>
            <w:r w:rsidRPr="00583B6B">
              <w:rPr>
                <w:rFonts w:ascii="Poppins" w:hAnsi="Poppins" w:cs="Poppins"/>
              </w:rPr>
              <w:t>approximately 50</w:t>
            </w:r>
            <w:r w:rsidR="00F17A69">
              <w:rPr>
                <w:rFonts w:ascii="Poppins" w:hAnsi="Poppins" w:cs="Poppins"/>
              </w:rPr>
              <w:t xml:space="preserve"> </w:t>
            </w:r>
            <w:r w:rsidRPr="00583B6B">
              <w:rPr>
                <w:rFonts w:ascii="Poppins" w:hAnsi="Poppins" w:cs="Poppins"/>
              </w:rPr>
              <w:t>staff</w:t>
            </w:r>
            <w:r w:rsidR="00F17A69">
              <w:rPr>
                <w:rFonts w:ascii="Poppins" w:hAnsi="Poppins" w:cs="Poppins"/>
              </w:rPr>
              <w:t xml:space="preserve"> </w:t>
            </w:r>
            <w:r w:rsidRPr="00583B6B">
              <w:rPr>
                <w:rFonts w:ascii="Poppins" w:hAnsi="Poppins" w:cs="Poppins"/>
              </w:rPr>
              <w:t>members. It involved</w:t>
            </w:r>
            <w:r w:rsidR="00F17A69">
              <w:rPr>
                <w:rFonts w:ascii="Poppins" w:hAnsi="Poppins" w:cs="Poppins"/>
              </w:rPr>
              <w:t xml:space="preserve"> </w:t>
            </w:r>
            <w:r w:rsidRPr="00583B6B">
              <w:rPr>
                <w:rFonts w:ascii="Poppins" w:hAnsi="Poppins" w:cs="Poppins"/>
              </w:rPr>
              <w:t>submitting</w:t>
            </w:r>
            <w:r w:rsidR="00F17A69">
              <w:rPr>
                <w:rFonts w:ascii="Poppins" w:hAnsi="Poppins" w:cs="Poppins"/>
              </w:rPr>
              <w:t xml:space="preserve"> </w:t>
            </w:r>
            <w:r w:rsidRPr="00583B6B">
              <w:rPr>
                <w:rFonts w:ascii="Poppins" w:hAnsi="Poppins" w:cs="Poppins"/>
              </w:rPr>
              <w:t>questions</w:t>
            </w:r>
            <w:r w:rsidR="00F17A69">
              <w:rPr>
                <w:rFonts w:ascii="Poppins" w:hAnsi="Poppins" w:cs="Poppins"/>
              </w:rPr>
              <w:t xml:space="preserve"> </w:t>
            </w:r>
            <w:r w:rsidRPr="00583B6B">
              <w:rPr>
                <w:rFonts w:ascii="Poppins" w:hAnsi="Poppins" w:cs="Poppins"/>
              </w:rPr>
              <w:t xml:space="preserve">anonymously to a Traditional Owner who then provided answers in an informal non-confrontational </w:t>
            </w:r>
            <w:r w:rsidRPr="00583B6B">
              <w:rPr>
                <w:rFonts w:ascii="Poppins" w:hAnsi="Poppins" w:cs="Poppins"/>
              </w:rPr>
              <w:lastRenderedPageBreak/>
              <w:t>setting.</w:t>
            </w:r>
            <w:r w:rsidR="00F17A69">
              <w:rPr>
                <w:rFonts w:ascii="Poppins" w:hAnsi="Poppins" w:cs="Poppins"/>
              </w:rPr>
              <w:t xml:space="preserve"> </w:t>
            </w:r>
            <w:r w:rsidRPr="00583B6B">
              <w:rPr>
                <w:rFonts w:ascii="Poppins" w:hAnsi="Poppins" w:cs="Poppins"/>
              </w:rPr>
              <w:t>In February 2026, the RAP Working Group</w:t>
            </w:r>
            <w:r w:rsidR="00F17A69">
              <w:rPr>
                <w:rFonts w:ascii="Poppins" w:hAnsi="Poppins" w:cs="Poppins"/>
              </w:rPr>
              <w:t xml:space="preserve"> </w:t>
            </w:r>
            <w:r w:rsidRPr="00583B6B">
              <w:rPr>
                <w:rFonts w:ascii="Poppins" w:hAnsi="Poppins" w:cs="Poppins"/>
              </w:rPr>
              <w:t>were invited to</w:t>
            </w:r>
            <w:r w:rsidR="00F17A69">
              <w:rPr>
                <w:rFonts w:ascii="Poppins" w:hAnsi="Poppins" w:cs="Poppins"/>
              </w:rPr>
              <w:t xml:space="preserve"> </w:t>
            </w:r>
            <w:r w:rsidRPr="00583B6B">
              <w:rPr>
                <w:rFonts w:ascii="Poppins" w:hAnsi="Poppins" w:cs="Poppins"/>
              </w:rPr>
              <w:t>participate</w:t>
            </w:r>
            <w:r w:rsidR="00F17A69">
              <w:rPr>
                <w:rFonts w:ascii="Poppins" w:hAnsi="Poppins" w:cs="Poppins"/>
              </w:rPr>
              <w:t xml:space="preserve"> </w:t>
            </w:r>
            <w:r w:rsidRPr="00583B6B">
              <w:rPr>
                <w:rFonts w:ascii="Poppins" w:hAnsi="Poppins" w:cs="Poppins"/>
              </w:rPr>
              <w:t>in a guided walk along</w:t>
            </w:r>
            <w:r w:rsidR="00F9413C">
              <w:rPr>
                <w:rFonts w:ascii="Poppins" w:hAnsi="Poppins" w:cs="Poppins"/>
              </w:rPr>
              <w:t xml:space="preserve"> </w:t>
            </w:r>
            <w:r w:rsidRPr="00583B6B">
              <w:rPr>
                <w:rFonts w:ascii="Poppins" w:hAnsi="Poppins" w:cs="Poppins"/>
              </w:rPr>
              <w:t>the</w:t>
            </w:r>
            <w:r w:rsidR="00F17A69">
              <w:rPr>
                <w:rFonts w:ascii="Poppins" w:hAnsi="Poppins" w:cs="Poppins"/>
              </w:rPr>
              <w:t xml:space="preserve"> </w:t>
            </w:r>
            <w:r w:rsidRPr="00583B6B">
              <w:rPr>
                <w:rFonts w:ascii="Poppins" w:hAnsi="Poppins" w:cs="Poppins"/>
              </w:rPr>
              <w:t>McCrae</w:t>
            </w:r>
            <w:r w:rsidR="00F17A69">
              <w:rPr>
                <w:rFonts w:ascii="Poppins" w:hAnsi="Poppins" w:cs="Poppins"/>
              </w:rPr>
              <w:t xml:space="preserve"> </w:t>
            </w:r>
            <w:r w:rsidRPr="00583B6B">
              <w:rPr>
                <w:rFonts w:ascii="Poppins" w:hAnsi="Poppins" w:cs="Poppins"/>
              </w:rPr>
              <w:t>Foreshore</w:t>
            </w:r>
            <w:r w:rsidR="00F17A69">
              <w:rPr>
                <w:rFonts w:ascii="Poppins" w:hAnsi="Poppins" w:cs="Poppins"/>
              </w:rPr>
              <w:t xml:space="preserve"> </w:t>
            </w:r>
            <w:r w:rsidRPr="00583B6B">
              <w:rPr>
                <w:rFonts w:ascii="Poppins" w:hAnsi="Poppins" w:cs="Poppins"/>
              </w:rPr>
              <w:t>facilitated</w:t>
            </w:r>
            <w:r w:rsidR="00F17A69">
              <w:rPr>
                <w:rFonts w:ascii="Poppins" w:hAnsi="Poppins" w:cs="Poppins"/>
              </w:rPr>
              <w:t xml:space="preserve"> </w:t>
            </w:r>
            <w:r w:rsidRPr="00583B6B">
              <w:rPr>
                <w:rFonts w:ascii="Poppins" w:hAnsi="Poppins" w:cs="Poppins"/>
              </w:rPr>
              <w:t>by</w:t>
            </w:r>
            <w:r w:rsidR="00F17A69">
              <w:rPr>
                <w:rFonts w:ascii="Poppins" w:hAnsi="Poppins" w:cs="Poppins"/>
              </w:rPr>
              <w:t xml:space="preserve"> </w:t>
            </w:r>
            <w:r w:rsidRPr="00583B6B">
              <w:rPr>
                <w:rFonts w:ascii="Poppins" w:hAnsi="Poppins" w:cs="Poppins"/>
              </w:rPr>
              <w:t>Living Culture.</w:t>
            </w:r>
            <w:r w:rsidR="00F17A69">
              <w:rPr>
                <w:rFonts w:ascii="Poppins" w:hAnsi="Poppins" w:cs="Poppins"/>
              </w:rPr>
              <w:t xml:space="preserve"> </w:t>
            </w:r>
            <w:r w:rsidRPr="00583B6B">
              <w:rPr>
                <w:rFonts w:ascii="Poppins" w:hAnsi="Poppins" w:cs="Poppins"/>
              </w:rPr>
              <w:t>Additionally</w:t>
            </w:r>
            <w:r w:rsidR="00F17A69">
              <w:rPr>
                <w:rFonts w:ascii="Poppins" w:hAnsi="Poppins" w:cs="Poppins"/>
              </w:rPr>
              <w:t xml:space="preserve">. </w:t>
            </w:r>
            <w:r w:rsidR="00F17A69" w:rsidRPr="00583B6B">
              <w:rPr>
                <w:rFonts w:ascii="Poppins" w:hAnsi="Poppins" w:cs="Poppins"/>
              </w:rPr>
              <w:t>A</w:t>
            </w:r>
            <w:r w:rsidRPr="00583B6B">
              <w:rPr>
                <w:rFonts w:ascii="Poppins" w:hAnsi="Poppins" w:cs="Poppins"/>
              </w:rPr>
              <w:t>ll</w:t>
            </w:r>
            <w:r w:rsidR="00F17A69">
              <w:rPr>
                <w:rFonts w:ascii="Poppins" w:hAnsi="Poppins" w:cs="Poppins"/>
              </w:rPr>
              <w:t xml:space="preserve"> </w:t>
            </w:r>
            <w:r w:rsidRPr="00583B6B">
              <w:rPr>
                <w:rFonts w:ascii="Poppins" w:hAnsi="Poppins" w:cs="Poppins"/>
              </w:rPr>
              <w:t>staff were invited to attend the Shire’s internal</w:t>
            </w:r>
            <w:r w:rsidR="00F17A69">
              <w:rPr>
                <w:rFonts w:ascii="Poppins" w:hAnsi="Poppins" w:cs="Poppins"/>
              </w:rPr>
              <w:t xml:space="preserve"> </w:t>
            </w:r>
            <w:r w:rsidRPr="00583B6B">
              <w:rPr>
                <w:rFonts w:ascii="Poppins" w:hAnsi="Poppins" w:cs="Poppins"/>
              </w:rPr>
              <w:t>NRW</w:t>
            </w:r>
            <w:r w:rsidR="00F17A69">
              <w:rPr>
                <w:rFonts w:ascii="Poppins" w:hAnsi="Poppins" w:cs="Poppins"/>
              </w:rPr>
              <w:t xml:space="preserve"> </w:t>
            </w:r>
            <w:r w:rsidRPr="00583B6B">
              <w:rPr>
                <w:rFonts w:ascii="Poppins" w:hAnsi="Poppins" w:cs="Poppins"/>
              </w:rPr>
              <w:t>event</w:t>
            </w:r>
            <w:r w:rsidR="00F17A69">
              <w:rPr>
                <w:rFonts w:ascii="Poppins" w:hAnsi="Poppins" w:cs="Poppins"/>
              </w:rPr>
              <w:t xml:space="preserve"> </w:t>
            </w:r>
            <w:r w:rsidRPr="00583B6B">
              <w:rPr>
                <w:rFonts w:ascii="Poppins" w:hAnsi="Poppins" w:cs="Poppins"/>
              </w:rPr>
              <w:t>which incorporated</w:t>
            </w:r>
            <w:r w:rsidR="00F17A69">
              <w:rPr>
                <w:rFonts w:ascii="Poppins" w:hAnsi="Poppins" w:cs="Poppins"/>
              </w:rPr>
              <w:t xml:space="preserve"> </w:t>
            </w:r>
            <w:r w:rsidRPr="00583B6B">
              <w:rPr>
                <w:rFonts w:ascii="Poppins" w:hAnsi="Poppins" w:cs="Poppins"/>
              </w:rPr>
              <w:t xml:space="preserve">a Welcome to Country, </w:t>
            </w:r>
            <w:r w:rsidR="00A82DCA">
              <w:rPr>
                <w:rFonts w:ascii="Poppins" w:hAnsi="Poppins" w:cs="Poppins"/>
              </w:rPr>
              <w:t>s</w:t>
            </w:r>
            <w:r w:rsidRPr="00583B6B">
              <w:rPr>
                <w:rFonts w:ascii="Poppins" w:hAnsi="Poppins" w:cs="Poppins"/>
              </w:rPr>
              <w:t xml:space="preserve">moking </w:t>
            </w:r>
            <w:r w:rsidR="00A82DCA">
              <w:rPr>
                <w:rFonts w:ascii="Poppins" w:hAnsi="Poppins" w:cs="Poppins"/>
              </w:rPr>
              <w:t>c</w:t>
            </w:r>
            <w:r w:rsidRPr="00583B6B">
              <w:rPr>
                <w:rFonts w:ascii="Poppins" w:hAnsi="Poppins" w:cs="Poppins"/>
              </w:rPr>
              <w:t>eremony,</w:t>
            </w:r>
            <w:r w:rsidR="00F17A69">
              <w:rPr>
                <w:rFonts w:ascii="Poppins" w:hAnsi="Poppins" w:cs="Poppins"/>
              </w:rPr>
              <w:t xml:space="preserve"> </w:t>
            </w:r>
            <w:r w:rsidRPr="00583B6B">
              <w:rPr>
                <w:rFonts w:ascii="Poppins" w:hAnsi="Poppins" w:cs="Poppins"/>
              </w:rPr>
              <w:t>flag</w:t>
            </w:r>
            <w:r w:rsidR="00F17A69">
              <w:rPr>
                <w:rFonts w:ascii="Poppins" w:hAnsi="Poppins" w:cs="Poppins"/>
              </w:rPr>
              <w:t xml:space="preserve"> </w:t>
            </w:r>
            <w:r w:rsidRPr="00583B6B">
              <w:rPr>
                <w:rFonts w:ascii="Poppins" w:hAnsi="Poppins" w:cs="Poppins"/>
              </w:rPr>
              <w:t xml:space="preserve">raising </w:t>
            </w:r>
            <w:r w:rsidR="00A41ED4">
              <w:rPr>
                <w:rFonts w:ascii="Poppins" w:hAnsi="Poppins" w:cs="Poppins"/>
              </w:rPr>
              <w:t>c</w:t>
            </w:r>
            <w:r w:rsidRPr="00583B6B">
              <w:rPr>
                <w:rFonts w:ascii="Poppins" w:hAnsi="Poppins" w:cs="Poppins"/>
              </w:rPr>
              <w:t>eremony and a Cultural Awareness Session delivered by a Traditional Owner.</w:t>
            </w:r>
          </w:p>
        </w:tc>
        <w:tc>
          <w:tcPr>
            <w:tcW w:w="1095" w:type="dxa"/>
            <w:shd w:val="clear" w:color="auto" w:fill="D6EBC4" w:themeFill="accent1" w:themeFillTint="66"/>
          </w:tcPr>
          <w:p w14:paraId="6CA20F47" w14:textId="6B0A2D2A" w:rsidR="00E36ED6" w:rsidRPr="00583B6B" w:rsidRDefault="003E42C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lastRenderedPageBreak/>
              <w:t>Ongoing</w:t>
            </w:r>
          </w:p>
        </w:tc>
      </w:tr>
      <w:tr w:rsidR="00E36ED6" w:rsidRPr="006949AB" w14:paraId="0212D515" w14:textId="47096BDE"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43AA5043" w14:textId="77777777" w:rsidR="00E36ED6" w:rsidRPr="006949AB" w:rsidRDefault="00E36ED6" w:rsidP="00E36ED6">
            <w:pPr>
              <w:pStyle w:val="BodyText"/>
              <w:rPr>
                <w:rFonts w:ascii="Poppins" w:hAnsi="Poppins" w:cs="Poppins"/>
              </w:rPr>
            </w:pPr>
          </w:p>
        </w:tc>
        <w:tc>
          <w:tcPr>
            <w:tcW w:w="2006" w:type="dxa"/>
            <w:shd w:val="clear" w:color="auto" w:fill="auto"/>
          </w:tcPr>
          <w:p w14:paraId="77D5E69E" w14:textId="19F7C9C0"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5.5 </w:t>
            </w:r>
            <w:r w:rsidRPr="00583B6B">
              <w:rPr>
                <w:rFonts w:ascii="Poppins" w:hAnsi="Poppins" w:cs="Poppins"/>
              </w:rPr>
              <w:t>Develop, communicate, and implement digital and face-to-face training modules, for new and ongoing staff.  </w:t>
            </w:r>
          </w:p>
        </w:tc>
        <w:tc>
          <w:tcPr>
            <w:tcW w:w="4209" w:type="dxa"/>
            <w:shd w:val="clear" w:color="auto" w:fill="FFFFFF" w:themeFill="background1"/>
          </w:tcPr>
          <w:p w14:paraId="63FD28CB" w14:textId="7F892A4E"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583B6B">
              <w:rPr>
                <w:rFonts w:ascii="Poppins" w:hAnsi="Poppins" w:cs="Poppins"/>
              </w:rPr>
              <w:t>Currently the development of a</w:t>
            </w:r>
            <w:r w:rsidR="003B6C2E">
              <w:rPr>
                <w:rFonts w:ascii="Poppins" w:hAnsi="Poppins" w:cs="Poppins"/>
              </w:rPr>
              <w:t xml:space="preserve"> </w:t>
            </w:r>
            <w:r w:rsidRPr="00583B6B">
              <w:rPr>
                <w:rFonts w:ascii="Poppins" w:hAnsi="Poppins" w:cs="Poppins"/>
              </w:rPr>
              <w:t>new onboarding platform is</w:t>
            </w:r>
            <w:r w:rsidR="003B6C2E">
              <w:rPr>
                <w:rFonts w:ascii="Poppins" w:hAnsi="Poppins" w:cs="Poppins"/>
              </w:rPr>
              <w:t xml:space="preserve"> </w:t>
            </w:r>
            <w:r w:rsidRPr="00583B6B">
              <w:rPr>
                <w:rFonts w:ascii="Poppins" w:hAnsi="Poppins" w:cs="Poppins"/>
              </w:rPr>
              <w:t>in its final</w:t>
            </w:r>
            <w:r w:rsidR="003B6C2E">
              <w:rPr>
                <w:rFonts w:ascii="Poppins" w:hAnsi="Poppins" w:cs="Poppins"/>
              </w:rPr>
              <w:t xml:space="preserve"> </w:t>
            </w:r>
            <w:r w:rsidRPr="00583B6B">
              <w:rPr>
                <w:rFonts w:ascii="Poppins" w:hAnsi="Poppins" w:cs="Poppins"/>
              </w:rPr>
              <w:t>stages and will shortly be ready to</w:t>
            </w:r>
            <w:r w:rsidR="003B6C2E">
              <w:rPr>
                <w:rFonts w:ascii="Poppins" w:hAnsi="Poppins" w:cs="Poppins"/>
              </w:rPr>
              <w:t xml:space="preserve"> </w:t>
            </w:r>
            <w:r w:rsidRPr="00583B6B">
              <w:rPr>
                <w:rFonts w:ascii="Poppins" w:hAnsi="Poppins" w:cs="Poppins"/>
              </w:rPr>
              <w:t>roll out</w:t>
            </w:r>
            <w:r w:rsidR="003B6C2E">
              <w:rPr>
                <w:rFonts w:ascii="Poppins" w:hAnsi="Poppins" w:cs="Poppins"/>
              </w:rPr>
              <w:t xml:space="preserve"> </w:t>
            </w:r>
            <w:r w:rsidRPr="00583B6B">
              <w:rPr>
                <w:rFonts w:ascii="Poppins" w:hAnsi="Poppins" w:cs="Poppins"/>
              </w:rPr>
              <w:t>for</w:t>
            </w:r>
            <w:r w:rsidR="003B6C2E">
              <w:rPr>
                <w:rFonts w:ascii="Poppins" w:hAnsi="Poppins" w:cs="Poppins"/>
              </w:rPr>
              <w:t xml:space="preserve"> </w:t>
            </w:r>
            <w:r w:rsidRPr="00583B6B">
              <w:rPr>
                <w:rFonts w:ascii="Poppins" w:hAnsi="Poppins" w:cs="Poppins"/>
              </w:rPr>
              <w:t>final testing, All the standing training</w:t>
            </w:r>
            <w:r w:rsidR="003B6C2E">
              <w:rPr>
                <w:rFonts w:ascii="Poppins" w:hAnsi="Poppins" w:cs="Poppins"/>
              </w:rPr>
              <w:t xml:space="preserve"> </w:t>
            </w:r>
            <w:r w:rsidRPr="00583B6B">
              <w:rPr>
                <w:rFonts w:ascii="Poppins" w:hAnsi="Poppins" w:cs="Poppins"/>
              </w:rPr>
              <w:t>modules including</w:t>
            </w:r>
            <w:r w:rsidR="003B6C2E">
              <w:rPr>
                <w:rFonts w:ascii="Poppins" w:hAnsi="Poppins" w:cs="Poppins"/>
              </w:rPr>
              <w:t xml:space="preserve"> </w:t>
            </w:r>
            <w:r w:rsidRPr="00583B6B">
              <w:rPr>
                <w:rFonts w:ascii="Poppins" w:hAnsi="Poppins" w:cs="Poppins"/>
              </w:rPr>
              <w:t>any new ones will fit into Tech</w:t>
            </w:r>
            <w:r w:rsidR="003B6C2E">
              <w:rPr>
                <w:rFonts w:ascii="Poppins" w:hAnsi="Poppins" w:cs="Poppins"/>
              </w:rPr>
              <w:t xml:space="preserve"> </w:t>
            </w:r>
            <w:r w:rsidRPr="00583B6B">
              <w:rPr>
                <w:rFonts w:ascii="Poppins" w:hAnsi="Poppins" w:cs="Poppins"/>
              </w:rPr>
              <w:t>1</w:t>
            </w:r>
            <w:r w:rsidR="003B6C2E">
              <w:rPr>
                <w:rFonts w:ascii="Poppins" w:hAnsi="Poppins" w:cs="Poppins"/>
              </w:rPr>
              <w:t xml:space="preserve"> </w:t>
            </w:r>
            <w:r w:rsidRPr="00583B6B">
              <w:rPr>
                <w:rFonts w:ascii="Poppins" w:hAnsi="Poppins" w:cs="Poppins"/>
              </w:rPr>
              <w:t>which will form the onboarding process to capture new and ongoing staff. </w:t>
            </w:r>
          </w:p>
        </w:tc>
        <w:tc>
          <w:tcPr>
            <w:tcW w:w="1095" w:type="dxa"/>
            <w:shd w:val="clear" w:color="auto" w:fill="FFE8BC" w:themeFill="accent3" w:themeFillTint="66"/>
          </w:tcPr>
          <w:p w14:paraId="4F7BEEF3" w14:textId="65967391" w:rsidR="00E36ED6" w:rsidRPr="00583B6B" w:rsidRDefault="00E26813"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Monitor</w:t>
            </w:r>
          </w:p>
        </w:tc>
      </w:tr>
      <w:tr w:rsidR="00E36ED6" w:rsidRPr="006949AB" w14:paraId="3F8B6E11" w14:textId="0BD50FB5"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val="restart"/>
            <w:tcBorders>
              <w:bottom w:val="single" w:sz="4" w:space="0" w:color="auto"/>
            </w:tcBorders>
            <w:shd w:val="clear" w:color="auto" w:fill="auto"/>
            <w:hideMark/>
          </w:tcPr>
          <w:p w14:paraId="4FE5CBAE" w14:textId="6441B638" w:rsidR="00E36ED6" w:rsidRPr="006949AB" w:rsidRDefault="00E36ED6" w:rsidP="00E36ED6">
            <w:pPr>
              <w:pStyle w:val="BodyText"/>
              <w:rPr>
                <w:rFonts w:ascii="Poppins" w:hAnsi="Poppins" w:cs="Poppins"/>
              </w:rPr>
            </w:pPr>
            <w:r>
              <w:rPr>
                <w:rFonts w:ascii="Poppins" w:hAnsi="Poppins" w:cs="Poppins"/>
              </w:rPr>
              <w:t>6</w:t>
            </w:r>
            <w:r w:rsidRPr="006949AB">
              <w:rPr>
                <w:rFonts w:ascii="Poppins" w:hAnsi="Poppins" w:cs="Poppins"/>
              </w:rPr>
              <w:t xml:space="preserve"> </w:t>
            </w:r>
            <w:r w:rsidRPr="00517A06">
              <w:rPr>
                <w:rFonts w:ascii="Poppins" w:hAnsi="Poppins" w:cs="Poppins"/>
              </w:rPr>
              <w:t>Demonstrate respect to Aboriginal and Torres Strait Islander peoples by observing cultural protocols. </w:t>
            </w:r>
          </w:p>
        </w:tc>
        <w:tc>
          <w:tcPr>
            <w:tcW w:w="2006" w:type="dxa"/>
            <w:tcBorders>
              <w:bottom w:val="single" w:sz="4" w:space="0" w:color="auto"/>
            </w:tcBorders>
            <w:shd w:val="clear" w:color="auto" w:fill="auto"/>
            <w:hideMark/>
          </w:tcPr>
          <w:p w14:paraId="3DC3B737" w14:textId="216F28EE"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6</w:t>
            </w:r>
            <w:r w:rsidRPr="006949AB">
              <w:rPr>
                <w:rFonts w:ascii="Poppins" w:hAnsi="Poppins" w:cs="Poppins"/>
              </w:rPr>
              <w:t xml:space="preserve">.1 </w:t>
            </w:r>
            <w:r w:rsidRPr="00697FAA">
              <w:rPr>
                <w:rFonts w:ascii="Poppins" w:hAnsi="Poppins" w:cs="Poppins"/>
              </w:rPr>
              <w:t>Increase staff's understanding of the purpose and significance behind cultural protocols, including Acknowledgement of Country and Welcome to Country protocols. </w:t>
            </w:r>
          </w:p>
        </w:tc>
        <w:tc>
          <w:tcPr>
            <w:tcW w:w="4209" w:type="dxa"/>
            <w:tcBorders>
              <w:bottom w:val="single" w:sz="4" w:space="0" w:color="auto"/>
            </w:tcBorders>
            <w:shd w:val="clear" w:color="auto" w:fill="FFFFFF" w:themeFill="background1"/>
            <w:hideMark/>
          </w:tcPr>
          <w:p w14:paraId="182ADDCB" w14:textId="6FDC1739"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7FAA">
              <w:rPr>
                <w:rFonts w:ascii="Poppins" w:hAnsi="Poppins" w:cs="Poppins"/>
              </w:rPr>
              <w:t xml:space="preserve">During 2025, P&amp;C in collaboration with the </w:t>
            </w:r>
            <w:r>
              <w:rPr>
                <w:rFonts w:ascii="Poppins" w:hAnsi="Poppins" w:cs="Poppins"/>
              </w:rPr>
              <w:t>First Nations</w:t>
            </w:r>
            <w:r w:rsidRPr="00697FAA">
              <w:rPr>
                <w:rFonts w:ascii="Poppins" w:hAnsi="Poppins" w:cs="Poppins"/>
              </w:rPr>
              <w:t xml:space="preserve"> Officer created a First Nations Pillar webpage that</w:t>
            </w:r>
            <w:r w:rsidR="003B6C2E">
              <w:rPr>
                <w:rFonts w:ascii="Poppins" w:hAnsi="Poppins" w:cs="Poppins"/>
              </w:rPr>
              <w:t xml:space="preserve"> </w:t>
            </w:r>
            <w:r w:rsidRPr="00697FAA">
              <w:rPr>
                <w:rFonts w:ascii="Poppins" w:hAnsi="Poppins" w:cs="Poppins"/>
              </w:rPr>
              <w:t>highlights</w:t>
            </w:r>
            <w:r w:rsidR="003B6C2E">
              <w:rPr>
                <w:rFonts w:ascii="Poppins" w:hAnsi="Poppins" w:cs="Poppins"/>
              </w:rPr>
              <w:t xml:space="preserve"> </w:t>
            </w:r>
            <w:r w:rsidRPr="00697FAA">
              <w:rPr>
                <w:rFonts w:ascii="Poppins" w:hAnsi="Poppins" w:cs="Poppins"/>
              </w:rPr>
              <w:t>the purpose and significance behind cultural protocols, including Acknowledgement of Country and Welcome to Country protocols</w:t>
            </w:r>
            <w:r w:rsidR="003B6C2E">
              <w:rPr>
                <w:rFonts w:ascii="Poppins" w:hAnsi="Poppins" w:cs="Poppins"/>
              </w:rPr>
              <w:t xml:space="preserve"> </w:t>
            </w:r>
            <w:r w:rsidRPr="00697FAA">
              <w:rPr>
                <w:rFonts w:ascii="Poppins" w:hAnsi="Poppins" w:cs="Poppins"/>
              </w:rPr>
              <w:t>and much more. This has been promoted as a landing page for any staff</w:t>
            </w:r>
            <w:r w:rsidR="003B6C2E">
              <w:rPr>
                <w:rFonts w:ascii="Poppins" w:hAnsi="Poppins" w:cs="Poppins"/>
              </w:rPr>
              <w:t xml:space="preserve"> </w:t>
            </w:r>
            <w:r w:rsidRPr="00697FAA">
              <w:rPr>
                <w:rFonts w:ascii="Poppins" w:hAnsi="Poppins" w:cs="Poppins"/>
              </w:rPr>
              <w:t>seeking</w:t>
            </w:r>
            <w:r w:rsidR="003B6C2E">
              <w:rPr>
                <w:rFonts w:ascii="Poppins" w:hAnsi="Poppins" w:cs="Poppins"/>
              </w:rPr>
              <w:t xml:space="preserve"> </w:t>
            </w:r>
            <w:r w:rsidRPr="00697FAA">
              <w:rPr>
                <w:rFonts w:ascii="Poppins" w:hAnsi="Poppins" w:cs="Poppins"/>
              </w:rPr>
              <w:t>to learn</w:t>
            </w:r>
            <w:r w:rsidR="003B6C2E">
              <w:rPr>
                <w:rFonts w:ascii="Poppins" w:hAnsi="Poppins" w:cs="Poppins"/>
              </w:rPr>
              <w:t xml:space="preserve"> </w:t>
            </w:r>
            <w:r w:rsidRPr="00697FAA">
              <w:rPr>
                <w:rFonts w:ascii="Poppins" w:hAnsi="Poppins" w:cs="Poppins"/>
              </w:rPr>
              <w:t>more</w:t>
            </w:r>
            <w:r w:rsidR="003B6C2E">
              <w:rPr>
                <w:rFonts w:ascii="Poppins" w:hAnsi="Poppins" w:cs="Poppins"/>
              </w:rPr>
              <w:t xml:space="preserve"> </w:t>
            </w:r>
            <w:hyperlink r:id="rId17" w:tgtFrame="_blank" w:history="1">
              <w:r w:rsidRPr="00697FAA">
                <w:rPr>
                  <w:rStyle w:val="Hyperlink"/>
                  <w:rFonts w:ascii="Poppins" w:hAnsi="Poppins" w:cs="Poppins"/>
                </w:rPr>
                <w:t>First Nations Pillar</w:t>
              </w:r>
            </w:hyperlink>
            <w:r w:rsidRPr="00697FAA">
              <w:rPr>
                <w:rFonts w:ascii="Poppins" w:hAnsi="Poppins" w:cs="Poppins"/>
              </w:rPr>
              <w:t>.</w:t>
            </w:r>
            <w:r w:rsidR="003B6C2E">
              <w:rPr>
                <w:rFonts w:ascii="Poppins" w:hAnsi="Poppins" w:cs="Poppins"/>
              </w:rPr>
              <w:t xml:space="preserve"> </w:t>
            </w:r>
            <w:r w:rsidRPr="00697FAA">
              <w:rPr>
                <w:rFonts w:ascii="Poppins" w:hAnsi="Poppins" w:cs="Poppins"/>
              </w:rPr>
              <w:t>This webpage is updated when new learnings</w:t>
            </w:r>
            <w:r w:rsidR="003B6C2E">
              <w:rPr>
                <w:rFonts w:ascii="Poppins" w:hAnsi="Poppins" w:cs="Poppins"/>
              </w:rPr>
              <w:t xml:space="preserve"> </w:t>
            </w:r>
            <w:r w:rsidRPr="00697FAA">
              <w:rPr>
                <w:rFonts w:ascii="Poppins" w:hAnsi="Poppins" w:cs="Poppins"/>
              </w:rPr>
              <w:t>come to light.</w:t>
            </w:r>
          </w:p>
        </w:tc>
        <w:tc>
          <w:tcPr>
            <w:tcW w:w="1095" w:type="dxa"/>
            <w:tcBorders>
              <w:bottom w:val="single" w:sz="4" w:space="0" w:color="auto"/>
            </w:tcBorders>
            <w:shd w:val="clear" w:color="auto" w:fill="D6EBC4" w:themeFill="accent1" w:themeFillTint="66"/>
          </w:tcPr>
          <w:p w14:paraId="07C8572B" w14:textId="2BCA3EED" w:rsidR="00E36ED6" w:rsidRPr="00697FAA" w:rsidRDefault="00E26813"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 track</w:t>
            </w:r>
          </w:p>
        </w:tc>
      </w:tr>
      <w:tr w:rsidR="00E36ED6" w:rsidRPr="006949AB" w14:paraId="7B391E75" w14:textId="03F48095"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509EACB4" w14:textId="77777777" w:rsidR="00E36ED6" w:rsidRPr="006949AB" w:rsidRDefault="00E36ED6" w:rsidP="00E36ED6">
            <w:pPr>
              <w:pStyle w:val="BodyText"/>
              <w:rPr>
                <w:rFonts w:ascii="Poppins" w:hAnsi="Poppins" w:cs="Poppins"/>
              </w:rPr>
            </w:pPr>
          </w:p>
        </w:tc>
        <w:tc>
          <w:tcPr>
            <w:tcW w:w="2006" w:type="dxa"/>
            <w:shd w:val="clear" w:color="auto" w:fill="auto"/>
            <w:hideMark/>
          </w:tcPr>
          <w:p w14:paraId="72546089" w14:textId="63E48937"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6</w:t>
            </w:r>
            <w:r w:rsidRPr="006949AB">
              <w:rPr>
                <w:rFonts w:ascii="Poppins" w:hAnsi="Poppins" w:cs="Poppins"/>
              </w:rPr>
              <w:t xml:space="preserve">.2 </w:t>
            </w:r>
            <w:r w:rsidRPr="000847EE">
              <w:rPr>
                <w:rFonts w:ascii="Poppins" w:hAnsi="Poppins" w:cs="Poppins"/>
              </w:rPr>
              <w:t>Review and Increase awareness of our cultural protocol document, that includes protocols for Welcome to Country and Acknowledgement of Country. </w:t>
            </w:r>
          </w:p>
        </w:tc>
        <w:tc>
          <w:tcPr>
            <w:tcW w:w="4209" w:type="dxa"/>
            <w:shd w:val="clear" w:color="auto" w:fill="FFFFFF" w:themeFill="background1"/>
            <w:hideMark/>
          </w:tcPr>
          <w:p w14:paraId="1E13DE05" w14:textId="6C2F82DC"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0847EE">
              <w:rPr>
                <w:rFonts w:ascii="Poppins" w:hAnsi="Poppins" w:cs="Poppins"/>
              </w:rPr>
              <w:t>New Acknowledgment to Country business cards and pins were</w:t>
            </w:r>
            <w:r w:rsidR="00220A34">
              <w:rPr>
                <w:rFonts w:ascii="Poppins" w:hAnsi="Poppins" w:cs="Poppins"/>
              </w:rPr>
              <w:t xml:space="preserve"> </w:t>
            </w:r>
            <w:r w:rsidRPr="000847EE">
              <w:rPr>
                <w:rFonts w:ascii="Poppins" w:hAnsi="Poppins" w:cs="Poppins"/>
              </w:rPr>
              <w:t>purchased</w:t>
            </w:r>
            <w:r w:rsidR="00220A34">
              <w:rPr>
                <w:rFonts w:ascii="Poppins" w:hAnsi="Poppins" w:cs="Poppins"/>
              </w:rPr>
              <w:t xml:space="preserve"> </w:t>
            </w:r>
            <w:r w:rsidRPr="000847EE">
              <w:rPr>
                <w:rFonts w:ascii="Poppins" w:hAnsi="Poppins" w:cs="Poppins"/>
              </w:rPr>
              <w:t>to reflect the new RAP artwork in 2025. These are provided to</w:t>
            </w:r>
            <w:r w:rsidR="00220A34">
              <w:rPr>
                <w:rFonts w:ascii="Poppins" w:hAnsi="Poppins" w:cs="Poppins"/>
              </w:rPr>
              <w:t xml:space="preserve"> </w:t>
            </w:r>
            <w:r w:rsidRPr="000847EE">
              <w:rPr>
                <w:rFonts w:ascii="Poppins" w:hAnsi="Poppins" w:cs="Poppins"/>
              </w:rPr>
              <w:t>all</w:t>
            </w:r>
            <w:r w:rsidR="00220A34">
              <w:rPr>
                <w:rFonts w:ascii="Poppins" w:hAnsi="Poppins" w:cs="Poppins"/>
              </w:rPr>
              <w:t xml:space="preserve"> </w:t>
            </w:r>
            <w:r w:rsidRPr="000847EE">
              <w:rPr>
                <w:rFonts w:ascii="Poppins" w:hAnsi="Poppins" w:cs="Poppins"/>
              </w:rPr>
              <w:t xml:space="preserve">new </w:t>
            </w:r>
            <w:r w:rsidR="00AD08B1">
              <w:rPr>
                <w:rFonts w:ascii="Poppins" w:hAnsi="Poppins" w:cs="Poppins"/>
              </w:rPr>
              <w:t>staff</w:t>
            </w:r>
            <w:r w:rsidRPr="000847EE">
              <w:rPr>
                <w:rFonts w:ascii="Poppins" w:hAnsi="Poppins" w:cs="Poppins"/>
              </w:rPr>
              <w:t>.</w:t>
            </w:r>
            <w:r w:rsidR="00220A34">
              <w:rPr>
                <w:rFonts w:ascii="Poppins" w:hAnsi="Poppins" w:cs="Poppins"/>
              </w:rPr>
              <w:t xml:space="preserve"> </w:t>
            </w:r>
          </w:p>
        </w:tc>
        <w:tc>
          <w:tcPr>
            <w:tcW w:w="1095" w:type="dxa"/>
            <w:shd w:val="clear" w:color="auto" w:fill="D6EBC4" w:themeFill="accent1" w:themeFillTint="66"/>
          </w:tcPr>
          <w:p w14:paraId="55F58342" w14:textId="0E856ADB" w:rsidR="00E36ED6" w:rsidRPr="000847EE" w:rsidRDefault="00E26813"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Ongoing</w:t>
            </w:r>
          </w:p>
        </w:tc>
      </w:tr>
      <w:tr w:rsidR="00E36ED6" w:rsidRPr="006949AB" w14:paraId="22A1CC30" w14:textId="1F60CDDF"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59527AFE" w14:textId="77777777" w:rsidR="00E36ED6" w:rsidRPr="006949AB" w:rsidRDefault="00E36ED6" w:rsidP="00E36ED6">
            <w:pPr>
              <w:pStyle w:val="BodyText"/>
              <w:rPr>
                <w:rFonts w:ascii="Poppins" w:hAnsi="Poppins" w:cs="Poppins"/>
              </w:rPr>
            </w:pPr>
          </w:p>
        </w:tc>
        <w:tc>
          <w:tcPr>
            <w:tcW w:w="2006" w:type="dxa"/>
            <w:tcBorders>
              <w:bottom w:val="single" w:sz="4" w:space="0" w:color="auto"/>
            </w:tcBorders>
            <w:shd w:val="clear" w:color="auto" w:fill="auto"/>
            <w:hideMark/>
          </w:tcPr>
          <w:p w14:paraId="4C45524A" w14:textId="1162E619"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6</w:t>
            </w:r>
            <w:r w:rsidRPr="006949AB">
              <w:rPr>
                <w:rFonts w:ascii="Poppins" w:hAnsi="Poppins" w:cs="Poppins"/>
              </w:rPr>
              <w:t xml:space="preserve">.3 </w:t>
            </w:r>
            <w:r w:rsidRPr="001E6045">
              <w:rPr>
                <w:rFonts w:ascii="Poppins" w:hAnsi="Poppins" w:cs="Poppins"/>
              </w:rPr>
              <w:t>Invite a local Traditional Owner or Custodian to provide a Welcome to</w:t>
            </w:r>
            <w:r w:rsidR="00220A34">
              <w:rPr>
                <w:rFonts w:ascii="Poppins" w:hAnsi="Poppins" w:cs="Poppins"/>
              </w:rPr>
              <w:t xml:space="preserve"> </w:t>
            </w:r>
            <w:r w:rsidRPr="001E6045">
              <w:rPr>
                <w:rFonts w:ascii="Poppins" w:hAnsi="Poppins" w:cs="Poppins"/>
              </w:rPr>
              <w:t>Country or other</w:t>
            </w:r>
            <w:r w:rsidR="00220A34">
              <w:rPr>
                <w:rFonts w:ascii="Poppins" w:hAnsi="Poppins" w:cs="Poppins"/>
              </w:rPr>
              <w:t xml:space="preserve"> </w:t>
            </w:r>
            <w:r w:rsidRPr="001E6045">
              <w:rPr>
                <w:rFonts w:ascii="Poppins" w:hAnsi="Poppins" w:cs="Poppins"/>
              </w:rPr>
              <w:t>appropriate cultural</w:t>
            </w:r>
            <w:r w:rsidR="00220A34">
              <w:rPr>
                <w:rFonts w:ascii="Poppins" w:hAnsi="Poppins" w:cs="Poppins"/>
              </w:rPr>
              <w:t xml:space="preserve"> </w:t>
            </w:r>
            <w:r w:rsidRPr="001E6045">
              <w:rPr>
                <w:rFonts w:ascii="Poppins" w:hAnsi="Poppins" w:cs="Poppins"/>
              </w:rPr>
              <w:t>protocol at</w:t>
            </w:r>
            <w:r w:rsidR="00220A34">
              <w:rPr>
                <w:rFonts w:ascii="Poppins" w:hAnsi="Poppins" w:cs="Poppins"/>
              </w:rPr>
              <w:t xml:space="preserve"> </w:t>
            </w:r>
            <w:r w:rsidRPr="001E6045">
              <w:rPr>
                <w:rFonts w:ascii="Poppins" w:hAnsi="Poppins" w:cs="Poppins"/>
              </w:rPr>
              <w:t>significant events</w:t>
            </w:r>
            <w:r w:rsidR="00220A34">
              <w:rPr>
                <w:rFonts w:ascii="Poppins" w:hAnsi="Poppins" w:cs="Poppins"/>
              </w:rPr>
              <w:t xml:space="preserve"> </w:t>
            </w:r>
            <w:r w:rsidRPr="001E6045">
              <w:rPr>
                <w:rFonts w:ascii="Poppins" w:hAnsi="Poppins" w:cs="Poppins"/>
              </w:rPr>
              <w:t>each year.</w:t>
            </w:r>
          </w:p>
        </w:tc>
        <w:tc>
          <w:tcPr>
            <w:tcW w:w="4209" w:type="dxa"/>
            <w:tcBorders>
              <w:bottom w:val="single" w:sz="4" w:space="0" w:color="auto"/>
            </w:tcBorders>
            <w:shd w:val="clear" w:color="auto" w:fill="FFFFFF" w:themeFill="background1"/>
            <w:hideMark/>
          </w:tcPr>
          <w:p w14:paraId="419F9848" w14:textId="6EBEBACA"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1E6045">
              <w:rPr>
                <w:rFonts w:ascii="Poppins" w:hAnsi="Poppins" w:cs="Poppins"/>
              </w:rPr>
              <w:t>A Traditional Owner provided a Welcome to Country for both the internal and</w:t>
            </w:r>
            <w:r w:rsidR="00220A34">
              <w:rPr>
                <w:rFonts w:ascii="Poppins" w:hAnsi="Poppins" w:cs="Poppins"/>
              </w:rPr>
              <w:t xml:space="preserve"> </w:t>
            </w:r>
            <w:r w:rsidRPr="001E6045">
              <w:rPr>
                <w:rFonts w:ascii="Poppins" w:hAnsi="Poppins" w:cs="Poppins"/>
              </w:rPr>
              <w:t>external</w:t>
            </w:r>
            <w:r w:rsidR="00220A34">
              <w:rPr>
                <w:rFonts w:ascii="Poppins" w:hAnsi="Poppins" w:cs="Poppins"/>
              </w:rPr>
              <w:t xml:space="preserve"> </w:t>
            </w:r>
            <w:r w:rsidRPr="001E6045">
              <w:rPr>
                <w:rFonts w:ascii="Poppins" w:hAnsi="Poppins" w:cs="Poppins"/>
              </w:rPr>
              <w:t>Cultural Awareness Sessions for NRW.</w:t>
            </w:r>
            <w:r w:rsidR="00220A34">
              <w:rPr>
                <w:rFonts w:ascii="Poppins" w:hAnsi="Poppins" w:cs="Poppins"/>
              </w:rPr>
              <w:t xml:space="preserve"> </w:t>
            </w:r>
            <w:r w:rsidRPr="001E6045">
              <w:rPr>
                <w:rFonts w:ascii="Poppins" w:hAnsi="Poppins" w:cs="Poppins"/>
              </w:rPr>
              <w:t>Traditional Owners are booked to provide Welcome to Countries at</w:t>
            </w:r>
            <w:r w:rsidR="00220A34">
              <w:rPr>
                <w:rFonts w:ascii="Poppins" w:hAnsi="Poppins" w:cs="Poppins"/>
              </w:rPr>
              <w:t xml:space="preserve"> </w:t>
            </w:r>
            <w:r w:rsidRPr="001E6045">
              <w:rPr>
                <w:rFonts w:ascii="Poppins" w:hAnsi="Poppins" w:cs="Poppins"/>
              </w:rPr>
              <w:t>an array of Shire events annually.</w:t>
            </w:r>
            <w:r w:rsidR="00220A34">
              <w:rPr>
                <w:rFonts w:ascii="Poppins" w:hAnsi="Poppins" w:cs="Poppins"/>
              </w:rPr>
              <w:t xml:space="preserve"> </w:t>
            </w:r>
          </w:p>
        </w:tc>
        <w:tc>
          <w:tcPr>
            <w:tcW w:w="1095" w:type="dxa"/>
            <w:tcBorders>
              <w:bottom w:val="single" w:sz="4" w:space="0" w:color="auto"/>
            </w:tcBorders>
            <w:shd w:val="clear" w:color="auto" w:fill="D6EBC4" w:themeFill="accent1" w:themeFillTint="66"/>
          </w:tcPr>
          <w:p w14:paraId="5FC695D6" w14:textId="40B62779" w:rsidR="00E36ED6" w:rsidRPr="001E6045" w:rsidRDefault="0004589D"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E36ED6" w:rsidRPr="006949AB" w14:paraId="356BCA9C" w14:textId="4ADFF495"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5C258D40" w14:textId="77777777" w:rsidR="00E36ED6" w:rsidRPr="006949AB" w:rsidRDefault="00E36ED6" w:rsidP="00E36ED6">
            <w:pPr>
              <w:pStyle w:val="BodyText"/>
              <w:rPr>
                <w:rFonts w:ascii="Poppins" w:hAnsi="Poppins" w:cs="Poppins"/>
              </w:rPr>
            </w:pPr>
          </w:p>
        </w:tc>
        <w:tc>
          <w:tcPr>
            <w:tcW w:w="2006" w:type="dxa"/>
            <w:shd w:val="clear" w:color="auto" w:fill="auto"/>
          </w:tcPr>
          <w:p w14:paraId="27A8AF1C" w14:textId="01C58F44" w:rsidR="00E36ED6" w:rsidRPr="006949AB" w:rsidRDefault="7FFC6832"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139CF35B">
              <w:rPr>
                <w:rFonts w:ascii="Poppins" w:hAnsi="Poppins" w:cs="Poppins"/>
              </w:rPr>
              <w:t xml:space="preserve">6.4 Include an Acknowledgement of Country at the </w:t>
            </w:r>
            <w:r w:rsidRPr="139CF35B">
              <w:rPr>
                <w:rFonts w:ascii="Poppins" w:hAnsi="Poppins" w:cs="Poppins"/>
              </w:rPr>
              <w:lastRenderedPageBreak/>
              <w:t>commencement of important meetings.</w:t>
            </w:r>
            <w:r w:rsidR="006F7D11">
              <w:rPr>
                <w:rFonts w:ascii="Poppins" w:hAnsi="Poppins" w:cs="Poppins"/>
              </w:rPr>
              <w:t xml:space="preserve"> </w:t>
            </w:r>
          </w:p>
        </w:tc>
        <w:tc>
          <w:tcPr>
            <w:tcW w:w="4209" w:type="dxa"/>
            <w:shd w:val="clear" w:color="auto" w:fill="FFFFFF" w:themeFill="background1"/>
          </w:tcPr>
          <w:p w14:paraId="0D529D5E" w14:textId="67E7A051" w:rsidR="00E36ED6" w:rsidRPr="006949AB" w:rsidRDefault="7FFC6832"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139CF35B">
              <w:rPr>
                <w:rFonts w:ascii="Poppins" w:hAnsi="Poppins" w:cs="Poppins"/>
              </w:rPr>
              <w:lastRenderedPageBreak/>
              <w:t>Incorporating an Acknowledgment of Country at the commencement of all internal meetings</w:t>
            </w:r>
            <w:r w:rsidR="52EDC516" w:rsidRPr="139CF35B">
              <w:rPr>
                <w:rFonts w:ascii="Poppins" w:hAnsi="Poppins" w:cs="Poppins"/>
              </w:rPr>
              <w:t>, Council meetings and at</w:t>
            </w:r>
            <w:r w:rsidR="2202B890" w:rsidRPr="139CF35B">
              <w:rPr>
                <w:rFonts w:ascii="Poppins" w:hAnsi="Poppins" w:cs="Poppins"/>
              </w:rPr>
              <w:t xml:space="preserve"> all </w:t>
            </w:r>
            <w:r w:rsidR="52EDC516" w:rsidRPr="139CF35B">
              <w:rPr>
                <w:rFonts w:ascii="Poppins" w:hAnsi="Poppins" w:cs="Poppins"/>
              </w:rPr>
              <w:lastRenderedPageBreak/>
              <w:t xml:space="preserve">significant external events </w:t>
            </w:r>
            <w:r w:rsidRPr="139CF35B">
              <w:rPr>
                <w:rFonts w:ascii="Poppins" w:hAnsi="Poppins" w:cs="Poppins"/>
              </w:rPr>
              <w:t>has become</w:t>
            </w:r>
            <w:r w:rsidR="006F7D11">
              <w:rPr>
                <w:rFonts w:ascii="Poppins" w:hAnsi="Poppins" w:cs="Poppins"/>
              </w:rPr>
              <w:t xml:space="preserve"> </w:t>
            </w:r>
            <w:r w:rsidRPr="139CF35B">
              <w:rPr>
                <w:rFonts w:ascii="Poppins" w:hAnsi="Poppins" w:cs="Poppins"/>
              </w:rPr>
              <w:t>imbedded in the Shire’s workplace culture.</w:t>
            </w:r>
            <w:r w:rsidR="00193BDD">
              <w:rPr>
                <w:rFonts w:ascii="Poppins" w:hAnsi="Poppins" w:cs="Poppins"/>
              </w:rPr>
              <w:t xml:space="preserve"> </w:t>
            </w:r>
          </w:p>
        </w:tc>
        <w:tc>
          <w:tcPr>
            <w:tcW w:w="1095" w:type="dxa"/>
            <w:shd w:val="clear" w:color="auto" w:fill="D6EBC4" w:themeFill="accent1" w:themeFillTint="66"/>
          </w:tcPr>
          <w:p w14:paraId="0CB6C4A2" w14:textId="0CA18CF5" w:rsidR="00E36ED6" w:rsidRPr="003132E7" w:rsidRDefault="0004589D"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lastRenderedPageBreak/>
              <w:t xml:space="preserve">Ongoing </w:t>
            </w:r>
          </w:p>
        </w:tc>
      </w:tr>
      <w:tr w:rsidR="00E36ED6" w:rsidRPr="006949AB" w14:paraId="3EFE37F3" w14:textId="4E21515A"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5F731232" w14:textId="77777777" w:rsidR="00E36ED6" w:rsidRPr="006949AB" w:rsidRDefault="00E36ED6" w:rsidP="00E36ED6">
            <w:pPr>
              <w:pStyle w:val="BodyText"/>
              <w:rPr>
                <w:rFonts w:ascii="Poppins" w:hAnsi="Poppins" w:cs="Poppins"/>
              </w:rPr>
            </w:pPr>
          </w:p>
        </w:tc>
        <w:tc>
          <w:tcPr>
            <w:tcW w:w="2006" w:type="dxa"/>
            <w:shd w:val="clear" w:color="auto" w:fill="auto"/>
          </w:tcPr>
          <w:p w14:paraId="5C8DF2EF" w14:textId="06EA5279"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6.5 </w:t>
            </w:r>
            <w:r w:rsidRPr="003132E7">
              <w:rPr>
                <w:rFonts w:ascii="Poppins" w:hAnsi="Poppins" w:cs="Poppins"/>
              </w:rPr>
              <w:t>Conduct an audit of cultural safety practices within Council in consultation with First Nations consultant and/or staff. </w:t>
            </w:r>
          </w:p>
        </w:tc>
        <w:tc>
          <w:tcPr>
            <w:tcW w:w="4209" w:type="dxa"/>
            <w:shd w:val="clear" w:color="auto" w:fill="FFFFFF" w:themeFill="background1"/>
          </w:tcPr>
          <w:p w14:paraId="4CADB4CF" w14:textId="5B7F68F4"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3132E7">
              <w:rPr>
                <w:rFonts w:ascii="Poppins" w:hAnsi="Poppins" w:cs="Poppins"/>
              </w:rPr>
              <w:t>Cultural Safety Training has been provided for</w:t>
            </w:r>
            <w:r w:rsidR="006F7D11">
              <w:rPr>
                <w:rFonts w:ascii="Poppins" w:hAnsi="Poppins" w:cs="Poppins"/>
              </w:rPr>
              <w:t xml:space="preserve"> </w:t>
            </w:r>
            <w:r w:rsidRPr="003132E7">
              <w:rPr>
                <w:rFonts w:ascii="Poppins" w:hAnsi="Poppins" w:cs="Poppins"/>
              </w:rPr>
              <w:t>the 2026 group of Trainees.</w:t>
            </w:r>
            <w:r w:rsidR="006F7D11">
              <w:rPr>
                <w:rFonts w:ascii="Poppins" w:hAnsi="Poppins" w:cs="Poppins"/>
              </w:rPr>
              <w:t xml:space="preserve"> </w:t>
            </w:r>
            <w:r w:rsidRPr="003132E7">
              <w:rPr>
                <w:rFonts w:ascii="Poppins" w:hAnsi="Poppins" w:cs="Poppins"/>
              </w:rPr>
              <w:t>Planning is underway for an organisation wide</w:t>
            </w:r>
            <w:r w:rsidR="006F7D11">
              <w:rPr>
                <w:rFonts w:ascii="Poppins" w:hAnsi="Poppins" w:cs="Poppins"/>
              </w:rPr>
              <w:t xml:space="preserve"> </w:t>
            </w:r>
            <w:r w:rsidRPr="003132E7">
              <w:rPr>
                <w:rFonts w:ascii="Poppins" w:hAnsi="Poppins" w:cs="Poppins"/>
              </w:rPr>
              <w:t>Cultural</w:t>
            </w:r>
            <w:r w:rsidR="006F7D11">
              <w:rPr>
                <w:rFonts w:ascii="Poppins" w:hAnsi="Poppins" w:cs="Poppins"/>
              </w:rPr>
              <w:t xml:space="preserve"> </w:t>
            </w:r>
            <w:r w:rsidRPr="003132E7">
              <w:rPr>
                <w:rFonts w:ascii="Poppins" w:hAnsi="Poppins" w:cs="Poppins"/>
              </w:rPr>
              <w:t>Safety</w:t>
            </w:r>
            <w:r w:rsidR="006F7D11">
              <w:rPr>
                <w:rFonts w:ascii="Poppins" w:hAnsi="Poppins" w:cs="Poppins"/>
              </w:rPr>
              <w:t xml:space="preserve"> </w:t>
            </w:r>
            <w:r w:rsidRPr="003132E7">
              <w:rPr>
                <w:rFonts w:ascii="Poppins" w:hAnsi="Poppins" w:cs="Poppins"/>
              </w:rPr>
              <w:t>Audit. </w:t>
            </w:r>
          </w:p>
        </w:tc>
        <w:tc>
          <w:tcPr>
            <w:tcW w:w="1095" w:type="dxa"/>
            <w:shd w:val="clear" w:color="auto" w:fill="D6EBC4" w:themeFill="accent1" w:themeFillTint="66"/>
          </w:tcPr>
          <w:p w14:paraId="6F3AC27C" w14:textId="55A6AD06" w:rsidR="00E36ED6" w:rsidRPr="003132E7" w:rsidRDefault="0004589D"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Ongoing</w:t>
            </w:r>
          </w:p>
        </w:tc>
      </w:tr>
      <w:tr w:rsidR="00E36ED6" w:rsidRPr="006949AB" w14:paraId="4C8BC3FC" w14:textId="52D4B270"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6C41883C" w14:textId="77777777" w:rsidR="00E36ED6" w:rsidRPr="006949AB" w:rsidRDefault="00E36ED6" w:rsidP="00E36ED6">
            <w:pPr>
              <w:pStyle w:val="BodyText"/>
              <w:rPr>
                <w:rFonts w:ascii="Poppins" w:hAnsi="Poppins" w:cs="Poppins"/>
              </w:rPr>
            </w:pPr>
          </w:p>
        </w:tc>
        <w:tc>
          <w:tcPr>
            <w:tcW w:w="2006" w:type="dxa"/>
            <w:shd w:val="clear" w:color="auto" w:fill="auto"/>
          </w:tcPr>
          <w:p w14:paraId="29144F39" w14:textId="0D7F8895"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6.6 </w:t>
            </w:r>
            <w:r w:rsidRPr="003132E7">
              <w:rPr>
                <w:rFonts w:ascii="Poppins" w:hAnsi="Poppins" w:cs="Poppins"/>
              </w:rPr>
              <w:t>Update all Formal Council documents to include An Acknowledgement of Country as well as education opportunities about the significance of other culturally significant dates. </w:t>
            </w:r>
          </w:p>
        </w:tc>
        <w:tc>
          <w:tcPr>
            <w:tcW w:w="4209" w:type="dxa"/>
            <w:shd w:val="clear" w:color="auto" w:fill="FFFFFF" w:themeFill="background1"/>
          </w:tcPr>
          <w:p w14:paraId="0B300711" w14:textId="7D5F1A4B" w:rsidR="00E36ED6" w:rsidRPr="006949AB" w:rsidRDefault="15542C15"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6BB2A4BA">
              <w:rPr>
                <w:rFonts w:ascii="Poppins" w:hAnsi="Poppins" w:cs="Poppins"/>
              </w:rPr>
              <w:t>Acknowledgement of Country has been embedded across Council's key corporate documents, templates and publications. All standard staff meeting templates, including PowerPoint presentations, agendas and minutes, now include an Acknowledgement of Country. The acknowledgement has also been incorporated into a wide range of strategic and public-facing documents, including the Council Plan, Annual Report, Annual Budget, Municipal Public Health and Wellbeing Plan, Reconciliation Action Plan, and various strategies, guides and community publications. In addition, Acknowledgement of Country wording has been included in selected signage and promotional materials where appropriate. This work has strengthened the visibility and consistency of Council's recognition of Traditional Owners across organisational communications and engagement activities.</w:t>
            </w:r>
          </w:p>
        </w:tc>
        <w:tc>
          <w:tcPr>
            <w:tcW w:w="1095" w:type="dxa"/>
            <w:shd w:val="clear" w:color="auto" w:fill="D6EBC4" w:themeFill="accent1" w:themeFillTint="66"/>
          </w:tcPr>
          <w:p w14:paraId="44CE4961" w14:textId="6A8B910D" w:rsidR="00E36ED6" w:rsidRPr="00594773" w:rsidRDefault="4F8D4578" w:rsidP="00E36ED6">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Ongoing</w:t>
            </w:r>
          </w:p>
        </w:tc>
      </w:tr>
      <w:tr w:rsidR="00E36ED6" w:rsidRPr="006949AB" w14:paraId="7D1C09D4" w14:textId="36BE09B9"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7B98E506" w14:textId="77777777" w:rsidR="00E36ED6" w:rsidRPr="006949AB" w:rsidRDefault="00E36ED6" w:rsidP="00E36ED6">
            <w:pPr>
              <w:pStyle w:val="BodyText"/>
              <w:rPr>
                <w:rFonts w:ascii="Poppins" w:hAnsi="Poppins" w:cs="Poppins"/>
              </w:rPr>
            </w:pPr>
          </w:p>
        </w:tc>
        <w:tc>
          <w:tcPr>
            <w:tcW w:w="2006" w:type="dxa"/>
            <w:shd w:val="clear" w:color="auto" w:fill="auto"/>
          </w:tcPr>
          <w:p w14:paraId="33970E77" w14:textId="03020160"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6.7 </w:t>
            </w:r>
            <w:r w:rsidRPr="00594773">
              <w:rPr>
                <w:rFonts w:ascii="Poppins" w:hAnsi="Poppins" w:cs="Poppins"/>
              </w:rPr>
              <w:t>Add protocol to</w:t>
            </w:r>
            <w:r w:rsidR="00BD35BF">
              <w:rPr>
                <w:rFonts w:ascii="Poppins" w:hAnsi="Poppins" w:cs="Poppins"/>
              </w:rPr>
              <w:t xml:space="preserve"> </w:t>
            </w:r>
            <w:r w:rsidRPr="00594773">
              <w:rPr>
                <w:rFonts w:ascii="Poppins" w:hAnsi="Poppins" w:cs="Poppins"/>
              </w:rPr>
              <w:t>Council’s Flag Policy to acknowledge significant Aboriginal and Torres Strait Islander community members and leaders.</w:t>
            </w:r>
          </w:p>
        </w:tc>
        <w:tc>
          <w:tcPr>
            <w:tcW w:w="4209" w:type="dxa"/>
            <w:shd w:val="clear" w:color="auto" w:fill="FFFFFF" w:themeFill="background1"/>
          </w:tcPr>
          <w:p w14:paraId="4512CBAA" w14:textId="68DFA595"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594773">
              <w:rPr>
                <w:rFonts w:ascii="Poppins" w:hAnsi="Poppins" w:cs="Poppins"/>
              </w:rPr>
              <w:t>Council’s Flag Policy was updated on 12/8/2025 to include acknowledgement of significant Aboriginal and Torres Strait Islander community members and leaders. </w:t>
            </w:r>
          </w:p>
        </w:tc>
        <w:tc>
          <w:tcPr>
            <w:tcW w:w="1095" w:type="dxa"/>
            <w:shd w:val="clear" w:color="auto" w:fill="D6EBC4" w:themeFill="accent1" w:themeFillTint="66"/>
          </w:tcPr>
          <w:p w14:paraId="3387C46A" w14:textId="59A8E378" w:rsidR="00E36ED6" w:rsidRPr="00594773" w:rsidRDefault="28B89CF0" w:rsidP="00E36ED6">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Complete</w:t>
            </w:r>
          </w:p>
        </w:tc>
      </w:tr>
      <w:tr w:rsidR="00E36ED6" w:rsidRPr="006949AB" w14:paraId="3BCEC78B" w14:textId="3A67BEC9"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2A7BFBA9" w14:textId="77777777" w:rsidR="00E36ED6" w:rsidRPr="006949AB" w:rsidRDefault="00E36ED6" w:rsidP="00E36ED6">
            <w:pPr>
              <w:pStyle w:val="BodyText"/>
              <w:rPr>
                <w:rFonts w:ascii="Poppins" w:hAnsi="Poppins" w:cs="Poppins"/>
              </w:rPr>
            </w:pPr>
          </w:p>
        </w:tc>
        <w:tc>
          <w:tcPr>
            <w:tcW w:w="2006" w:type="dxa"/>
            <w:shd w:val="clear" w:color="auto" w:fill="auto"/>
          </w:tcPr>
          <w:p w14:paraId="71725DF4" w14:textId="4241F9F2"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6.8 </w:t>
            </w:r>
            <w:r w:rsidRPr="00C16BC8">
              <w:rPr>
                <w:rFonts w:ascii="Poppins" w:hAnsi="Poppins" w:cs="Poppins"/>
              </w:rPr>
              <w:t>Investigate naming or renaming Council buildings, parks, reserves using Bunurong Language in consultation with Traditional Owners.</w:t>
            </w:r>
            <w:r w:rsidR="003511B2">
              <w:rPr>
                <w:rFonts w:ascii="Poppins" w:hAnsi="Poppins" w:cs="Poppins"/>
              </w:rPr>
              <w:t xml:space="preserve"> </w:t>
            </w:r>
          </w:p>
        </w:tc>
        <w:tc>
          <w:tcPr>
            <w:tcW w:w="4209" w:type="dxa"/>
            <w:shd w:val="clear" w:color="auto" w:fill="FFFFFF" w:themeFill="background1"/>
          </w:tcPr>
          <w:p w14:paraId="4B8B587E" w14:textId="36E6933D"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C16BC8">
              <w:rPr>
                <w:rFonts w:ascii="Poppins" w:hAnsi="Poppins" w:cs="Poppins"/>
              </w:rPr>
              <w:t>Opportunities to incorporate Bunurong language into the naming of</w:t>
            </w:r>
            <w:r w:rsidR="00193BDD">
              <w:rPr>
                <w:rFonts w:ascii="Poppins" w:hAnsi="Poppins" w:cs="Poppins"/>
              </w:rPr>
              <w:t xml:space="preserve"> </w:t>
            </w:r>
            <w:r w:rsidRPr="00C16BC8">
              <w:rPr>
                <w:rFonts w:ascii="Poppins" w:hAnsi="Poppins" w:cs="Poppins"/>
              </w:rPr>
              <w:t>new places</w:t>
            </w:r>
            <w:r w:rsidR="00193BDD">
              <w:rPr>
                <w:rFonts w:ascii="Poppins" w:hAnsi="Poppins" w:cs="Poppins"/>
              </w:rPr>
              <w:t xml:space="preserve"> </w:t>
            </w:r>
            <w:r w:rsidRPr="00C16BC8">
              <w:rPr>
                <w:rFonts w:ascii="Poppins" w:hAnsi="Poppins" w:cs="Poppins"/>
              </w:rPr>
              <w:t>and facilities will be considered as they arise. At present, there is no dedicated budget or resourcing available to investigate the naming or renaming of existing buildings and locations, and therefore no further progress has been made on this action. </w:t>
            </w:r>
          </w:p>
        </w:tc>
        <w:tc>
          <w:tcPr>
            <w:tcW w:w="1095" w:type="dxa"/>
            <w:shd w:val="clear" w:color="auto" w:fill="FFE8BC" w:themeFill="accent3" w:themeFillTint="66"/>
          </w:tcPr>
          <w:p w14:paraId="390EF9B0" w14:textId="5036F3F3" w:rsidR="00E36ED6" w:rsidRPr="00C16BC8" w:rsidRDefault="68D73498" w:rsidP="00E36ED6">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E36ED6" w:rsidRPr="006949AB" w14:paraId="4DFCAD89" w14:textId="265677E8"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val="restart"/>
            <w:tcBorders>
              <w:bottom w:val="single" w:sz="4" w:space="0" w:color="auto"/>
            </w:tcBorders>
            <w:shd w:val="clear" w:color="auto" w:fill="auto"/>
            <w:hideMark/>
          </w:tcPr>
          <w:p w14:paraId="31732EBB" w14:textId="4DE3265A" w:rsidR="00E36ED6" w:rsidRPr="006949AB" w:rsidRDefault="00E36ED6" w:rsidP="00E36ED6">
            <w:pPr>
              <w:pStyle w:val="BodyText"/>
              <w:rPr>
                <w:rFonts w:ascii="Poppins" w:hAnsi="Poppins" w:cs="Poppins"/>
              </w:rPr>
            </w:pPr>
            <w:r>
              <w:rPr>
                <w:rFonts w:ascii="Poppins" w:hAnsi="Poppins" w:cs="Poppins"/>
              </w:rPr>
              <w:lastRenderedPageBreak/>
              <w:t>7</w:t>
            </w:r>
            <w:r w:rsidRPr="006949AB">
              <w:rPr>
                <w:rFonts w:ascii="Poppins" w:hAnsi="Poppins" w:cs="Poppins"/>
              </w:rPr>
              <w:t xml:space="preserve"> </w:t>
            </w:r>
            <w:r w:rsidRPr="00C16BC8">
              <w:rPr>
                <w:rFonts w:ascii="Poppins" w:hAnsi="Poppins" w:cs="Poppins"/>
              </w:rPr>
              <w:t>Build respect for Aboriginal and Torres Strait Islander cultures and histories by celebrating NAIDOC Week.  </w:t>
            </w:r>
          </w:p>
        </w:tc>
        <w:tc>
          <w:tcPr>
            <w:tcW w:w="2006" w:type="dxa"/>
            <w:tcBorders>
              <w:bottom w:val="single" w:sz="4" w:space="0" w:color="auto"/>
            </w:tcBorders>
            <w:shd w:val="clear" w:color="auto" w:fill="auto"/>
            <w:hideMark/>
          </w:tcPr>
          <w:p w14:paraId="2AD497A6" w14:textId="46BA55C1"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7</w:t>
            </w:r>
            <w:r w:rsidRPr="006949AB">
              <w:rPr>
                <w:rFonts w:ascii="Poppins" w:hAnsi="Poppins" w:cs="Poppins"/>
              </w:rPr>
              <w:t xml:space="preserve">.1 </w:t>
            </w:r>
            <w:r w:rsidRPr="00473505">
              <w:rPr>
                <w:rFonts w:ascii="Poppins" w:hAnsi="Poppins" w:cs="Poppins"/>
              </w:rPr>
              <w:t>RAP Working Group to</w:t>
            </w:r>
            <w:r w:rsidR="003511B2">
              <w:rPr>
                <w:rFonts w:ascii="Poppins" w:hAnsi="Poppins" w:cs="Poppins"/>
              </w:rPr>
              <w:t xml:space="preserve"> </w:t>
            </w:r>
            <w:r w:rsidRPr="00473505">
              <w:rPr>
                <w:rFonts w:ascii="Poppins" w:hAnsi="Poppins" w:cs="Poppins"/>
              </w:rPr>
              <w:t>participate</w:t>
            </w:r>
            <w:r w:rsidR="003511B2">
              <w:rPr>
                <w:rFonts w:ascii="Poppins" w:hAnsi="Poppins" w:cs="Poppins"/>
              </w:rPr>
              <w:t xml:space="preserve"> </w:t>
            </w:r>
            <w:r w:rsidRPr="00473505">
              <w:rPr>
                <w:rFonts w:ascii="Poppins" w:hAnsi="Poppins" w:cs="Poppins"/>
              </w:rPr>
              <w:t>in an external NAIDOC Week event.</w:t>
            </w:r>
            <w:r w:rsidR="003511B2">
              <w:rPr>
                <w:rFonts w:ascii="Poppins" w:hAnsi="Poppins" w:cs="Poppins"/>
              </w:rPr>
              <w:t xml:space="preserve"> </w:t>
            </w:r>
          </w:p>
        </w:tc>
        <w:tc>
          <w:tcPr>
            <w:tcW w:w="4209" w:type="dxa"/>
            <w:tcBorders>
              <w:bottom w:val="single" w:sz="4" w:space="0" w:color="auto"/>
            </w:tcBorders>
            <w:shd w:val="clear" w:color="auto" w:fill="FFFFFF" w:themeFill="background1"/>
            <w:hideMark/>
          </w:tcPr>
          <w:p w14:paraId="4AEBAA9A" w14:textId="2A14D9D6"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BD68DD">
              <w:rPr>
                <w:rFonts w:ascii="Poppins" w:hAnsi="Poppins" w:cs="Poppins"/>
              </w:rPr>
              <w:t>The RAP Working Group has actively supported the delivery of NAIDOC Week community events,</w:t>
            </w:r>
            <w:r w:rsidR="00193BDD">
              <w:rPr>
                <w:rFonts w:ascii="Poppins" w:hAnsi="Poppins" w:cs="Poppins"/>
              </w:rPr>
              <w:t xml:space="preserve"> </w:t>
            </w:r>
            <w:r w:rsidRPr="00BD68DD">
              <w:rPr>
                <w:rFonts w:ascii="Poppins" w:hAnsi="Poppins" w:cs="Poppins"/>
              </w:rPr>
              <w:t>assisting</w:t>
            </w:r>
            <w:r w:rsidR="00193BDD">
              <w:rPr>
                <w:rFonts w:ascii="Poppins" w:hAnsi="Poppins" w:cs="Poppins"/>
              </w:rPr>
              <w:t xml:space="preserve"> </w:t>
            </w:r>
            <w:r w:rsidRPr="00BD68DD">
              <w:rPr>
                <w:rFonts w:ascii="Poppins" w:hAnsi="Poppins" w:cs="Poppins"/>
              </w:rPr>
              <w:t>with the 2025 screening of In My Blood It Runs. Building on this commitment, Working Group members have also committed to supporting upcoming NAIDOC Week 2026 community activities, including the screening of The Last Daughter, helping to strengthen community engagement and awareness of First Nations stories and experiences. </w:t>
            </w:r>
          </w:p>
        </w:tc>
        <w:tc>
          <w:tcPr>
            <w:tcW w:w="1095" w:type="dxa"/>
            <w:tcBorders>
              <w:bottom w:val="single" w:sz="4" w:space="0" w:color="auto"/>
            </w:tcBorders>
            <w:shd w:val="clear" w:color="auto" w:fill="D6EBC4" w:themeFill="accent1" w:themeFillTint="66"/>
          </w:tcPr>
          <w:p w14:paraId="5E42D7EB" w14:textId="4327BBA0" w:rsidR="00E36ED6" w:rsidRPr="00BD68DD" w:rsidRDefault="0DB40957" w:rsidP="00E36ED6">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 track</w:t>
            </w:r>
          </w:p>
        </w:tc>
      </w:tr>
      <w:tr w:rsidR="00E36ED6" w:rsidRPr="006949AB" w14:paraId="75866E04" w14:textId="1AE3ADF7"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2E9E4E72" w14:textId="77777777" w:rsidR="00E36ED6" w:rsidRPr="006949AB" w:rsidRDefault="00E36ED6" w:rsidP="00E36ED6">
            <w:pPr>
              <w:pStyle w:val="BodyText"/>
              <w:rPr>
                <w:rFonts w:ascii="Poppins" w:hAnsi="Poppins" w:cs="Poppins"/>
              </w:rPr>
            </w:pPr>
          </w:p>
        </w:tc>
        <w:tc>
          <w:tcPr>
            <w:tcW w:w="2006" w:type="dxa"/>
            <w:tcBorders>
              <w:bottom w:val="single" w:sz="4" w:space="0" w:color="auto"/>
            </w:tcBorders>
            <w:shd w:val="clear" w:color="auto" w:fill="auto"/>
            <w:hideMark/>
          </w:tcPr>
          <w:p w14:paraId="0A343393" w14:textId="4E2BC195"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7</w:t>
            </w:r>
            <w:r w:rsidRPr="006949AB">
              <w:rPr>
                <w:rFonts w:ascii="Poppins" w:hAnsi="Poppins" w:cs="Poppins"/>
              </w:rPr>
              <w:t xml:space="preserve">.2 </w:t>
            </w:r>
            <w:r w:rsidRPr="00FB55DB">
              <w:rPr>
                <w:rFonts w:ascii="Poppins" w:hAnsi="Poppins" w:cs="Poppins"/>
              </w:rPr>
              <w:t>Review HR policies and procedures to ensure there are no barriers to Aboriginal and Torres Strait Islander staff</w:t>
            </w:r>
            <w:r w:rsidR="00BF77FD">
              <w:rPr>
                <w:rFonts w:ascii="Poppins" w:hAnsi="Poppins" w:cs="Poppins"/>
              </w:rPr>
              <w:t xml:space="preserve"> </w:t>
            </w:r>
            <w:r w:rsidRPr="00FB55DB">
              <w:rPr>
                <w:rFonts w:ascii="Poppins" w:hAnsi="Poppins" w:cs="Poppins"/>
              </w:rPr>
              <w:t>participating</w:t>
            </w:r>
            <w:r w:rsidR="00BF77FD">
              <w:rPr>
                <w:rFonts w:ascii="Poppins" w:hAnsi="Poppins" w:cs="Poppins"/>
              </w:rPr>
              <w:t xml:space="preserve"> </w:t>
            </w:r>
            <w:r w:rsidRPr="00FB55DB">
              <w:rPr>
                <w:rFonts w:ascii="Poppins" w:hAnsi="Poppins" w:cs="Poppins"/>
              </w:rPr>
              <w:t>in NAIDOC Week and other significant Aboriginal and Torres Strait Islander events.</w:t>
            </w:r>
            <w:r w:rsidR="00BF77FD">
              <w:rPr>
                <w:rFonts w:ascii="Poppins" w:hAnsi="Poppins" w:cs="Poppins"/>
              </w:rPr>
              <w:t xml:space="preserve"> </w:t>
            </w:r>
          </w:p>
        </w:tc>
        <w:tc>
          <w:tcPr>
            <w:tcW w:w="4209" w:type="dxa"/>
            <w:tcBorders>
              <w:bottom w:val="single" w:sz="4" w:space="0" w:color="auto"/>
            </w:tcBorders>
            <w:shd w:val="clear" w:color="auto" w:fill="FFFFFF" w:themeFill="background1"/>
            <w:hideMark/>
          </w:tcPr>
          <w:p w14:paraId="37954BB7" w14:textId="69353FE7" w:rsidR="00E36ED6" w:rsidRPr="006949AB" w:rsidRDefault="333212AA"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5E042A8F">
              <w:rPr>
                <w:rFonts w:ascii="Poppins" w:hAnsi="Poppins" w:cs="Poppins"/>
              </w:rPr>
              <w:t xml:space="preserve">Mornington Peninsula Shire’s Enterprise Agreement provide provisions for </w:t>
            </w:r>
            <w:r w:rsidR="13044FF8" w:rsidRPr="5E042A8F">
              <w:rPr>
                <w:rFonts w:ascii="Poppins" w:hAnsi="Poppins" w:cs="Poppins"/>
              </w:rPr>
              <w:t>Aboriginal and Torres Strait Islander staff to access</w:t>
            </w:r>
            <w:r w:rsidR="004E66B7">
              <w:rPr>
                <w:rFonts w:ascii="Poppins" w:hAnsi="Poppins" w:cs="Poppins"/>
              </w:rPr>
              <w:t xml:space="preserve"> </w:t>
            </w:r>
            <w:r w:rsidRPr="5E042A8F">
              <w:rPr>
                <w:rFonts w:ascii="Poppins" w:hAnsi="Poppins" w:cs="Poppins"/>
              </w:rPr>
              <w:t>culturally appr</w:t>
            </w:r>
            <w:r w:rsidR="31C4470D" w:rsidRPr="5E042A8F">
              <w:rPr>
                <w:rFonts w:ascii="Poppins" w:hAnsi="Poppins" w:cs="Poppins"/>
              </w:rPr>
              <w:t xml:space="preserve">opriate </w:t>
            </w:r>
            <w:r w:rsidR="075056BB" w:rsidRPr="5E042A8F">
              <w:rPr>
                <w:rFonts w:ascii="Poppins" w:hAnsi="Poppins" w:cs="Poppins"/>
              </w:rPr>
              <w:t>leave for date</w:t>
            </w:r>
            <w:r w:rsidR="00AE1029">
              <w:rPr>
                <w:rFonts w:ascii="Poppins" w:hAnsi="Poppins" w:cs="Poppins"/>
              </w:rPr>
              <w:t>s</w:t>
            </w:r>
            <w:r w:rsidR="075056BB" w:rsidRPr="5E042A8F">
              <w:rPr>
                <w:rFonts w:ascii="Poppins" w:hAnsi="Poppins" w:cs="Poppins"/>
              </w:rPr>
              <w:t xml:space="preserve"> of significance or Sorry Business. </w:t>
            </w:r>
          </w:p>
        </w:tc>
        <w:tc>
          <w:tcPr>
            <w:tcW w:w="1095" w:type="dxa"/>
            <w:tcBorders>
              <w:bottom w:val="single" w:sz="4" w:space="0" w:color="auto"/>
            </w:tcBorders>
            <w:shd w:val="clear" w:color="auto" w:fill="D6EBC4" w:themeFill="accent1" w:themeFillTint="66"/>
          </w:tcPr>
          <w:p w14:paraId="2B95941B" w14:textId="2B28B7AB" w:rsidR="00E36ED6" w:rsidRPr="002802CD" w:rsidRDefault="4CC9BCD5" w:rsidP="00E36ED6">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r w:rsidR="00E36ED6" w:rsidRPr="006949AB" w14:paraId="496ED743" w14:textId="0BF1BF2F"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0E50F476" w14:textId="77777777" w:rsidR="00E36ED6" w:rsidRPr="006949AB" w:rsidRDefault="00E36ED6" w:rsidP="00E36ED6">
            <w:pPr>
              <w:pStyle w:val="BodyText"/>
              <w:rPr>
                <w:rFonts w:ascii="Poppins" w:hAnsi="Poppins" w:cs="Poppins"/>
              </w:rPr>
            </w:pPr>
          </w:p>
        </w:tc>
        <w:tc>
          <w:tcPr>
            <w:tcW w:w="2006" w:type="dxa"/>
            <w:tcBorders>
              <w:bottom w:val="single" w:sz="4" w:space="0" w:color="auto"/>
            </w:tcBorders>
            <w:shd w:val="clear" w:color="auto" w:fill="auto"/>
            <w:hideMark/>
          </w:tcPr>
          <w:p w14:paraId="52BF04D8" w14:textId="71F30D69"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7.</w:t>
            </w:r>
            <w:r w:rsidRPr="006949AB">
              <w:rPr>
                <w:rFonts w:ascii="Poppins" w:hAnsi="Poppins" w:cs="Poppins"/>
              </w:rPr>
              <w:t xml:space="preserve">3 </w:t>
            </w:r>
            <w:r w:rsidRPr="00FB55DB">
              <w:rPr>
                <w:rFonts w:ascii="Poppins" w:hAnsi="Poppins" w:cs="Poppins"/>
              </w:rPr>
              <w:t>Promote and encourage participation in external NAIDOC events to all staff. </w:t>
            </w:r>
          </w:p>
        </w:tc>
        <w:tc>
          <w:tcPr>
            <w:tcW w:w="4209" w:type="dxa"/>
            <w:tcBorders>
              <w:bottom w:val="single" w:sz="4" w:space="0" w:color="auto"/>
            </w:tcBorders>
            <w:shd w:val="clear" w:color="auto" w:fill="FFFFFF" w:themeFill="background1"/>
            <w:hideMark/>
          </w:tcPr>
          <w:p w14:paraId="2BA73A28" w14:textId="6DF2D9AB"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5A0FD2">
              <w:rPr>
                <w:rFonts w:ascii="Poppins" w:hAnsi="Poppins" w:cs="Poppins"/>
              </w:rPr>
              <w:t xml:space="preserve">Internal promotion </w:t>
            </w:r>
            <w:r>
              <w:rPr>
                <w:rFonts w:ascii="Poppins" w:hAnsi="Poppins" w:cs="Poppins"/>
              </w:rPr>
              <w:t xml:space="preserve">of </w:t>
            </w:r>
            <w:r w:rsidRPr="005A0FD2">
              <w:rPr>
                <w:rFonts w:ascii="Poppins" w:hAnsi="Poppins" w:cs="Poppins"/>
              </w:rPr>
              <w:t xml:space="preserve">all community and internal NAIDOC Week events </w:t>
            </w:r>
            <w:r>
              <w:rPr>
                <w:rFonts w:ascii="Poppins" w:hAnsi="Poppins" w:cs="Poppins"/>
              </w:rPr>
              <w:t xml:space="preserve">was provided </w:t>
            </w:r>
            <w:r w:rsidRPr="005A0FD2">
              <w:rPr>
                <w:rFonts w:ascii="Poppins" w:hAnsi="Poppins" w:cs="Poppins"/>
              </w:rPr>
              <w:t>for staff</w:t>
            </w:r>
            <w:r w:rsidR="00BF77FD">
              <w:rPr>
                <w:rFonts w:ascii="Poppins" w:hAnsi="Poppins" w:cs="Poppins"/>
              </w:rPr>
              <w:t xml:space="preserve"> </w:t>
            </w:r>
            <w:r w:rsidRPr="005A0FD2">
              <w:rPr>
                <w:rFonts w:ascii="Poppins" w:hAnsi="Poppins" w:cs="Poppins"/>
              </w:rPr>
              <w:t>to</w:t>
            </w:r>
            <w:r w:rsidR="00BF77FD">
              <w:rPr>
                <w:rFonts w:ascii="Poppins" w:hAnsi="Poppins" w:cs="Poppins"/>
              </w:rPr>
              <w:t xml:space="preserve"> </w:t>
            </w:r>
            <w:r w:rsidRPr="005A0FD2">
              <w:rPr>
                <w:rFonts w:ascii="Poppins" w:hAnsi="Poppins" w:cs="Poppins"/>
              </w:rPr>
              <w:t>engage in.  </w:t>
            </w:r>
          </w:p>
        </w:tc>
        <w:tc>
          <w:tcPr>
            <w:tcW w:w="1095" w:type="dxa"/>
            <w:tcBorders>
              <w:bottom w:val="single" w:sz="4" w:space="0" w:color="auto"/>
            </w:tcBorders>
            <w:shd w:val="clear" w:color="auto" w:fill="D6EBC4" w:themeFill="accent1" w:themeFillTint="66"/>
          </w:tcPr>
          <w:p w14:paraId="54401C28" w14:textId="72381A3D" w:rsidR="00E36ED6" w:rsidRPr="005A0FD2" w:rsidRDefault="3920FB27" w:rsidP="00E36ED6">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E36ED6" w:rsidRPr="006949AB" w14:paraId="4F7CC79B" w14:textId="0A9B8B0A" w:rsidTr="5E042A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53C4B436" w14:textId="77777777" w:rsidR="00E36ED6" w:rsidRPr="006949AB" w:rsidRDefault="00E36ED6" w:rsidP="00E36ED6">
            <w:pPr>
              <w:pStyle w:val="BodyText"/>
              <w:rPr>
                <w:rFonts w:ascii="Poppins" w:hAnsi="Poppins" w:cs="Poppins"/>
              </w:rPr>
            </w:pPr>
          </w:p>
        </w:tc>
        <w:tc>
          <w:tcPr>
            <w:tcW w:w="2006" w:type="dxa"/>
            <w:tcBorders>
              <w:bottom w:val="single" w:sz="4" w:space="0" w:color="auto"/>
            </w:tcBorders>
            <w:shd w:val="clear" w:color="auto" w:fill="auto"/>
            <w:hideMark/>
          </w:tcPr>
          <w:p w14:paraId="3C4258AE" w14:textId="12C2F08F"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7</w:t>
            </w:r>
            <w:r w:rsidRPr="006949AB">
              <w:rPr>
                <w:rFonts w:ascii="Poppins" w:hAnsi="Poppins" w:cs="Poppins"/>
              </w:rPr>
              <w:t xml:space="preserve">.4 </w:t>
            </w:r>
            <w:r w:rsidRPr="00B7310D">
              <w:rPr>
                <w:rFonts w:ascii="Poppins" w:hAnsi="Poppins" w:cs="Poppins"/>
              </w:rPr>
              <w:t>Ensure that information about NAIDOC</w:t>
            </w:r>
            <w:r w:rsidR="00BF77FD">
              <w:rPr>
                <w:rFonts w:ascii="Poppins" w:hAnsi="Poppins" w:cs="Poppins"/>
              </w:rPr>
              <w:t xml:space="preserve"> </w:t>
            </w:r>
            <w:r w:rsidRPr="00B7310D">
              <w:rPr>
                <w:rFonts w:ascii="Poppins" w:hAnsi="Poppins" w:cs="Poppins"/>
              </w:rPr>
              <w:t>Week activities as well as external events are shared with the community.</w:t>
            </w:r>
            <w:r w:rsidR="00BF77FD">
              <w:rPr>
                <w:rFonts w:ascii="Poppins" w:hAnsi="Poppins" w:cs="Poppins"/>
              </w:rPr>
              <w:t xml:space="preserve"> </w:t>
            </w:r>
          </w:p>
        </w:tc>
        <w:tc>
          <w:tcPr>
            <w:tcW w:w="4209" w:type="dxa"/>
            <w:tcBorders>
              <w:bottom w:val="single" w:sz="4" w:space="0" w:color="auto"/>
            </w:tcBorders>
            <w:shd w:val="clear" w:color="auto" w:fill="FFFFFF" w:themeFill="background1"/>
            <w:hideMark/>
          </w:tcPr>
          <w:p w14:paraId="301FD009" w14:textId="1E527176" w:rsidR="00E36ED6" w:rsidRPr="006949AB" w:rsidRDefault="00E36ED6"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B7310D">
              <w:rPr>
                <w:rFonts w:ascii="Poppins" w:hAnsi="Poppins" w:cs="Poppins"/>
              </w:rPr>
              <w:t>To promote NAIDOC Week 2025, events were incorporated into the Shire’s</w:t>
            </w:r>
            <w:r w:rsidR="00BF77FD">
              <w:rPr>
                <w:rFonts w:ascii="Poppins" w:hAnsi="Poppins" w:cs="Poppins"/>
              </w:rPr>
              <w:t xml:space="preserve"> </w:t>
            </w:r>
            <w:r w:rsidRPr="00B7310D">
              <w:rPr>
                <w:rFonts w:ascii="Poppins" w:hAnsi="Poppins" w:cs="Poppins"/>
                <w:i/>
                <w:iCs/>
              </w:rPr>
              <w:t>We All Belong</w:t>
            </w:r>
            <w:r w:rsidR="00BF77FD">
              <w:rPr>
                <w:rFonts w:ascii="Poppins" w:hAnsi="Poppins" w:cs="Poppins"/>
                <w:i/>
                <w:iCs/>
              </w:rPr>
              <w:t xml:space="preserve"> </w:t>
            </w:r>
            <w:r w:rsidRPr="00B7310D">
              <w:rPr>
                <w:rFonts w:ascii="Poppins" w:hAnsi="Poppins" w:cs="Poppins"/>
              </w:rPr>
              <w:t>campaign and promoted through Council communication channels, including social media, e-newsletters, online</w:t>
            </w:r>
            <w:r w:rsidR="00BF77FD">
              <w:rPr>
                <w:rFonts w:ascii="Poppins" w:hAnsi="Poppins" w:cs="Poppins"/>
              </w:rPr>
              <w:t xml:space="preserve"> </w:t>
            </w:r>
            <w:r w:rsidRPr="00B7310D">
              <w:rPr>
                <w:rFonts w:ascii="Poppins" w:hAnsi="Poppins" w:cs="Poppins"/>
              </w:rPr>
              <w:t>platforms</w:t>
            </w:r>
            <w:r w:rsidR="00BF77FD">
              <w:rPr>
                <w:rFonts w:ascii="Poppins" w:hAnsi="Poppins" w:cs="Poppins"/>
              </w:rPr>
              <w:t xml:space="preserve"> </w:t>
            </w:r>
            <w:r w:rsidRPr="00B7310D">
              <w:rPr>
                <w:rFonts w:ascii="Poppins" w:hAnsi="Poppins" w:cs="Poppins"/>
              </w:rPr>
              <w:t>and local media. A dedicated NAIDOC Week webpage was also</w:t>
            </w:r>
            <w:r w:rsidR="00BF77FD">
              <w:rPr>
                <w:rFonts w:ascii="Poppins" w:hAnsi="Poppins" w:cs="Poppins"/>
              </w:rPr>
              <w:t xml:space="preserve"> </w:t>
            </w:r>
            <w:r w:rsidRPr="00B7310D">
              <w:rPr>
                <w:rFonts w:ascii="Poppins" w:hAnsi="Poppins" w:cs="Poppins"/>
              </w:rPr>
              <w:t>established</w:t>
            </w:r>
            <w:r w:rsidR="00BF77FD">
              <w:rPr>
                <w:rFonts w:ascii="Poppins" w:hAnsi="Poppins" w:cs="Poppins"/>
              </w:rPr>
              <w:t xml:space="preserve"> </w:t>
            </w:r>
            <w:r w:rsidRPr="00B7310D">
              <w:rPr>
                <w:rFonts w:ascii="Poppins" w:hAnsi="Poppins" w:cs="Poppins"/>
              </w:rPr>
              <w:t>to</w:t>
            </w:r>
            <w:r w:rsidR="00BF77FD">
              <w:rPr>
                <w:rFonts w:ascii="Poppins" w:hAnsi="Poppins" w:cs="Poppins"/>
              </w:rPr>
              <w:t xml:space="preserve"> </w:t>
            </w:r>
            <w:r w:rsidRPr="00B7310D">
              <w:rPr>
                <w:rFonts w:ascii="Poppins" w:hAnsi="Poppins" w:cs="Poppins"/>
              </w:rPr>
              <w:t>showcase</w:t>
            </w:r>
            <w:r w:rsidR="00BF77FD">
              <w:rPr>
                <w:rFonts w:ascii="Poppins" w:hAnsi="Poppins" w:cs="Poppins"/>
              </w:rPr>
              <w:t xml:space="preserve"> </w:t>
            </w:r>
            <w:r w:rsidRPr="00B7310D">
              <w:rPr>
                <w:rFonts w:ascii="Poppins" w:hAnsi="Poppins" w:cs="Poppins"/>
              </w:rPr>
              <w:t>local events and activities.</w:t>
            </w:r>
            <w:r w:rsidR="00BF77FD">
              <w:rPr>
                <w:rFonts w:ascii="Poppins" w:hAnsi="Poppins" w:cs="Poppins"/>
              </w:rPr>
              <w:t xml:space="preserve"> </w:t>
            </w:r>
            <w:r w:rsidRPr="00B7310D">
              <w:rPr>
                <w:rFonts w:ascii="Poppins" w:hAnsi="Poppins" w:cs="Poppins"/>
              </w:rPr>
              <w:t>Following an evaluation of the 2025 approach, it</w:t>
            </w:r>
            <w:r w:rsidR="00BF77FD">
              <w:rPr>
                <w:rFonts w:ascii="Poppins" w:hAnsi="Poppins" w:cs="Poppins"/>
              </w:rPr>
              <w:t xml:space="preserve"> </w:t>
            </w:r>
            <w:r w:rsidRPr="00B7310D">
              <w:rPr>
                <w:rFonts w:ascii="Poppins" w:hAnsi="Poppins" w:cs="Poppins"/>
              </w:rPr>
              <w:t>was recognised that First Nations initiatives are more appropriately promoted through the Reconciliation Action Plan rather than the</w:t>
            </w:r>
            <w:r w:rsidR="00F202A2">
              <w:rPr>
                <w:rFonts w:ascii="Poppins" w:hAnsi="Poppins" w:cs="Poppins"/>
              </w:rPr>
              <w:t xml:space="preserve"> </w:t>
            </w:r>
            <w:r w:rsidRPr="00B7310D">
              <w:rPr>
                <w:rFonts w:ascii="Poppins" w:hAnsi="Poppins" w:cs="Poppins"/>
                <w:i/>
                <w:iCs/>
              </w:rPr>
              <w:t>We All Belong</w:t>
            </w:r>
            <w:r w:rsidR="00BF77FD">
              <w:rPr>
                <w:rFonts w:ascii="Poppins" w:hAnsi="Poppins" w:cs="Poppins"/>
                <w:i/>
                <w:iCs/>
              </w:rPr>
              <w:t xml:space="preserve"> </w:t>
            </w:r>
            <w:r w:rsidRPr="00B7310D">
              <w:rPr>
                <w:rFonts w:ascii="Poppins" w:hAnsi="Poppins" w:cs="Poppins"/>
              </w:rPr>
              <w:t>framework, as the latter does not</w:t>
            </w:r>
            <w:r w:rsidR="00BF77FD">
              <w:rPr>
                <w:rFonts w:ascii="Poppins" w:hAnsi="Poppins" w:cs="Poppins"/>
              </w:rPr>
              <w:t xml:space="preserve"> </w:t>
            </w:r>
            <w:r w:rsidRPr="00B7310D">
              <w:rPr>
                <w:rFonts w:ascii="Poppins" w:hAnsi="Poppins" w:cs="Poppins"/>
              </w:rPr>
              <w:t>contain actions specifically relating to First Nations communities. This feedback informed a more considered and culturally</w:t>
            </w:r>
            <w:r w:rsidR="00F202A2">
              <w:rPr>
                <w:rFonts w:ascii="Poppins" w:hAnsi="Poppins" w:cs="Poppins"/>
              </w:rPr>
              <w:t xml:space="preserve"> </w:t>
            </w:r>
            <w:r w:rsidRPr="00B7310D">
              <w:rPr>
                <w:rFonts w:ascii="Poppins" w:hAnsi="Poppins" w:cs="Poppins"/>
              </w:rPr>
              <w:t>appropriate communications approach</w:t>
            </w:r>
            <w:r w:rsidR="00F202A2">
              <w:rPr>
                <w:rFonts w:ascii="Poppins" w:hAnsi="Poppins" w:cs="Poppins"/>
              </w:rPr>
              <w:t xml:space="preserve"> </w:t>
            </w:r>
            <w:r w:rsidRPr="00B7310D">
              <w:rPr>
                <w:rFonts w:ascii="Poppins" w:hAnsi="Poppins" w:cs="Poppins"/>
              </w:rPr>
              <w:t>for NAIDOC Week 2026, ensuring stronger alignment with reconciliation</w:t>
            </w:r>
            <w:r w:rsidR="00F202A2">
              <w:rPr>
                <w:rFonts w:ascii="Poppins" w:hAnsi="Poppins" w:cs="Poppins"/>
              </w:rPr>
              <w:t xml:space="preserve"> </w:t>
            </w:r>
            <w:r w:rsidRPr="00B7310D">
              <w:rPr>
                <w:rFonts w:ascii="Poppins" w:hAnsi="Poppins" w:cs="Poppins"/>
              </w:rPr>
              <w:t>objectives</w:t>
            </w:r>
            <w:r w:rsidR="00F202A2">
              <w:rPr>
                <w:rFonts w:ascii="Poppins" w:hAnsi="Poppins" w:cs="Poppins"/>
              </w:rPr>
              <w:t xml:space="preserve"> </w:t>
            </w:r>
            <w:r w:rsidRPr="00B7310D">
              <w:rPr>
                <w:rFonts w:ascii="Poppins" w:hAnsi="Poppins" w:cs="Poppins"/>
              </w:rPr>
              <w:t>and community expectations.</w:t>
            </w:r>
            <w:r w:rsidR="00F202A2">
              <w:rPr>
                <w:rFonts w:ascii="Poppins" w:hAnsi="Poppins" w:cs="Poppins"/>
              </w:rPr>
              <w:t xml:space="preserve"> </w:t>
            </w:r>
          </w:p>
        </w:tc>
        <w:tc>
          <w:tcPr>
            <w:tcW w:w="1095" w:type="dxa"/>
            <w:tcBorders>
              <w:bottom w:val="single" w:sz="4" w:space="0" w:color="auto"/>
            </w:tcBorders>
            <w:shd w:val="clear" w:color="auto" w:fill="D6EBC4" w:themeFill="accent1" w:themeFillTint="66"/>
          </w:tcPr>
          <w:p w14:paraId="0C31BD6D" w14:textId="635399BC" w:rsidR="00E36ED6" w:rsidRPr="00B7310D" w:rsidRDefault="17BF1948" w:rsidP="00E36ED6">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Ongoing</w:t>
            </w:r>
          </w:p>
        </w:tc>
      </w:tr>
      <w:tr w:rsidR="00E36ED6" w:rsidRPr="006949AB" w14:paraId="40F1752F" w14:textId="7562E4C3"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22D5311D" w14:textId="77777777" w:rsidR="00E36ED6" w:rsidRPr="006949AB" w:rsidRDefault="00E36ED6" w:rsidP="00E36ED6">
            <w:pPr>
              <w:pStyle w:val="BodyText"/>
              <w:rPr>
                <w:rFonts w:ascii="Poppins" w:hAnsi="Poppins" w:cs="Poppins"/>
              </w:rPr>
            </w:pPr>
          </w:p>
        </w:tc>
        <w:tc>
          <w:tcPr>
            <w:tcW w:w="2006" w:type="dxa"/>
            <w:shd w:val="clear" w:color="auto" w:fill="auto"/>
          </w:tcPr>
          <w:p w14:paraId="67C9DBC8" w14:textId="45383B16"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7.5 </w:t>
            </w:r>
            <w:r w:rsidRPr="00555F53">
              <w:rPr>
                <w:rFonts w:ascii="Poppins" w:hAnsi="Poppins" w:cs="Poppins"/>
              </w:rPr>
              <w:t>Hold an internal NAIDOC week event for all staff.</w:t>
            </w:r>
          </w:p>
        </w:tc>
        <w:tc>
          <w:tcPr>
            <w:tcW w:w="4209" w:type="dxa"/>
            <w:shd w:val="clear" w:color="auto" w:fill="FFFFFF" w:themeFill="background1"/>
          </w:tcPr>
          <w:p w14:paraId="460174FA" w14:textId="60AC1897" w:rsidR="00E36ED6" w:rsidRPr="006949AB"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The Shire’s internal event for NAIDOC Week 2025 was an engaging ‘You Can’t Ask That’ session with Traditional Owner Jillian West. Jillian was provided with anonymous questions that staff have been holding onto but have not been comfortable to ask in other environments. Approximately 50 staff attended and engaged in insightful and though provoking conversations surrounding Jillian West’s commentary. </w:t>
            </w:r>
          </w:p>
        </w:tc>
        <w:tc>
          <w:tcPr>
            <w:tcW w:w="1095" w:type="dxa"/>
            <w:shd w:val="clear" w:color="auto" w:fill="D6EBC4" w:themeFill="accent1" w:themeFillTint="66"/>
          </w:tcPr>
          <w:p w14:paraId="6DEF0446" w14:textId="25497E90" w:rsidR="00E36ED6" w:rsidRDefault="44B24B50" w:rsidP="00E36ED6">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685B21" w:rsidRPr="006949AB" w14:paraId="00129953" w14:textId="5CC920BE" w:rsidTr="5E042A8F">
        <w:trPr>
          <w:cnfStyle w:val="000000010000" w:firstRow="0" w:lastRow="0" w:firstColumn="0" w:lastColumn="0" w:oddVBand="0" w:evenVBand="0" w:oddHBand="0" w:evenHBand="1" w:firstRowFirstColumn="0" w:firstRowLastColumn="0" w:lastRowFirstColumn="0" w:lastRowLastColumn="0"/>
          <w:trHeight w:val="7220"/>
        </w:trPr>
        <w:tc>
          <w:tcPr>
            <w:cnfStyle w:val="001000000000" w:firstRow="0" w:lastRow="0" w:firstColumn="1" w:lastColumn="0" w:oddVBand="0" w:evenVBand="0" w:oddHBand="0" w:evenHBand="0" w:firstRowFirstColumn="0" w:firstRowLastColumn="0" w:lastRowFirstColumn="0" w:lastRowLastColumn="0"/>
            <w:tcW w:w="2392" w:type="dxa"/>
            <w:vMerge w:val="restart"/>
            <w:shd w:val="clear" w:color="auto" w:fill="auto"/>
            <w:hideMark/>
          </w:tcPr>
          <w:p w14:paraId="3C072885" w14:textId="1F0EACEE" w:rsidR="00685B21" w:rsidRPr="006949AB" w:rsidRDefault="00685B21" w:rsidP="00E36ED6">
            <w:pPr>
              <w:pStyle w:val="BodyText"/>
              <w:rPr>
                <w:rFonts w:ascii="Poppins" w:hAnsi="Poppins" w:cs="Poppins"/>
              </w:rPr>
            </w:pPr>
            <w:r>
              <w:rPr>
                <w:rFonts w:ascii="Poppins" w:hAnsi="Poppins" w:cs="Poppins"/>
              </w:rPr>
              <w:t>8</w:t>
            </w:r>
            <w:r w:rsidRPr="006949AB">
              <w:rPr>
                <w:rFonts w:ascii="Poppins" w:hAnsi="Poppins" w:cs="Poppins"/>
              </w:rPr>
              <w:t xml:space="preserve"> </w:t>
            </w:r>
            <w:r w:rsidRPr="00D824CE">
              <w:rPr>
                <w:rFonts w:ascii="Poppins" w:hAnsi="Poppins" w:cs="Poppins"/>
              </w:rPr>
              <w:t xml:space="preserve">Highlight the importance of Education, Treaty and Truth telling through engaging with the </w:t>
            </w:r>
            <w:proofErr w:type="gramStart"/>
            <w:r w:rsidRPr="00D824CE">
              <w:rPr>
                <w:rFonts w:ascii="Poppins" w:hAnsi="Poppins" w:cs="Poppins"/>
              </w:rPr>
              <w:t>community.*</w:t>
            </w:r>
            <w:proofErr w:type="gramEnd"/>
          </w:p>
        </w:tc>
        <w:tc>
          <w:tcPr>
            <w:tcW w:w="2006" w:type="dxa"/>
            <w:shd w:val="clear" w:color="auto" w:fill="auto"/>
            <w:hideMark/>
          </w:tcPr>
          <w:p w14:paraId="79AA491C" w14:textId="29FA5FCA" w:rsidR="00685B21" w:rsidRPr="006949AB" w:rsidRDefault="00685B21"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8.</w:t>
            </w:r>
            <w:r w:rsidRPr="006949AB">
              <w:rPr>
                <w:rFonts w:ascii="Poppins" w:hAnsi="Poppins" w:cs="Poppins"/>
              </w:rPr>
              <w:t xml:space="preserve">1 </w:t>
            </w:r>
            <w:r w:rsidRPr="003B5245">
              <w:rPr>
                <w:rFonts w:ascii="Poppins" w:hAnsi="Poppins" w:cs="Poppins"/>
              </w:rPr>
              <w:t>Consult with the community on options for acknowledging the significance 26 January.</w:t>
            </w:r>
          </w:p>
        </w:tc>
        <w:tc>
          <w:tcPr>
            <w:tcW w:w="4209" w:type="dxa"/>
            <w:shd w:val="clear" w:color="auto" w:fill="FFFFFF" w:themeFill="background1"/>
            <w:hideMark/>
          </w:tcPr>
          <w:p w14:paraId="62A36343" w14:textId="28AE65CD" w:rsidR="00180075" w:rsidRPr="00180075" w:rsidRDefault="00180075" w:rsidP="00180075">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180075">
              <w:rPr>
                <w:rFonts w:ascii="Poppins" w:hAnsi="Poppins" w:cs="Poppins"/>
              </w:rPr>
              <w:t xml:space="preserve">Ongoing engagement has reinforced the importance of recognising the significance of 26 January in ways that are meaningful to First Nations communities. Building relationships and listening to community perspectives has highlighted the value of self-determination and community-led initiatives, with First Nations communities best placed to lead conversations and cultural activities that reflect </w:t>
            </w:r>
            <w:r w:rsidR="005C79B4">
              <w:rPr>
                <w:rFonts w:ascii="Poppins" w:hAnsi="Poppins" w:cs="Poppins"/>
              </w:rPr>
              <w:t xml:space="preserve">shared </w:t>
            </w:r>
            <w:r w:rsidRPr="00180075">
              <w:rPr>
                <w:rFonts w:ascii="Poppins" w:hAnsi="Poppins" w:cs="Poppins"/>
              </w:rPr>
              <w:t>histories, experiences and aspirations. Council's role is to support and enable these opportunities, fostering inclusion, understanding and reconciliation across the community.</w:t>
            </w:r>
          </w:p>
          <w:p w14:paraId="31B8228F" w14:textId="3DE35618" w:rsidR="00685B21" w:rsidRPr="006949AB" w:rsidRDefault="00685B21"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p>
        </w:tc>
        <w:tc>
          <w:tcPr>
            <w:tcW w:w="1095" w:type="dxa"/>
            <w:shd w:val="clear" w:color="auto" w:fill="D6EBC4" w:themeFill="accent1" w:themeFillTint="66"/>
          </w:tcPr>
          <w:p w14:paraId="2AF9FDCE" w14:textId="225A25EE" w:rsidR="00685B21" w:rsidRPr="003B5245" w:rsidRDefault="2B89D0B5" w:rsidP="00E36ED6">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Complete</w:t>
            </w:r>
          </w:p>
        </w:tc>
      </w:tr>
      <w:tr w:rsidR="00E36ED6" w:rsidRPr="006949AB" w14:paraId="2B408AA0" w14:textId="24D3EB4F" w:rsidTr="5E042A8F">
        <w:trPr>
          <w:trHeight w:val="20"/>
        </w:trPr>
        <w:tc>
          <w:tcPr>
            <w:cnfStyle w:val="001000000000" w:firstRow="0" w:lastRow="0" w:firstColumn="1" w:lastColumn="0" w:oddVBand="0" w:evenVBand="0" w:oddHBand="0" w:evenHBand="0" w:firstRowFirstColumn="0" w:firstRowLastColumn="0" w:lastRowFirstColumn="0" w:lastRowLastColumn="0"/>
            <w:tcW w:w="2392" w:type="dxa"/>
            <w:vMerge/>
          </w:tcPr>
          <w:p w14:paraId="0482AC30" w14:textId="77777777" w:rsidR="00E36ED6" w:rsidRPr="006949AB" w:rsidRDefault="00E36ED6" w:rsidP="00E36ED6">
            <w:pPr>
              <w:pStyle w:val="BodyText"/>
              <w:rPr>
                <w:rFonts w:ascii="Poppins" w:hAnsi="Poppins" w:cs="Poppins"/>
              </w:rPr>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2497D83D" w14:textId="0F92A5EA" w:rsidR="00E36ED6"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8</w:t>
            </w:r>
            <w:r w:rsidRPr="006949AB">
              <w:rPr>
                <w:rFonts w:ascii="Poppins" w:hAnsi="Poppins" w:cs="Poppins"/>
              </w:rPr>
              <w:t xml:space="preserve">.2 </w:t>
            </w:r>
            <w:r w:rsidRPr="00FA0A0F">
              <w:rPr>
                <w:rFonts w:ascii="Poppins" w:hAnsi="Poppins" w:cs="Poppins"/>
              </w:rPr>
              <w:t>Raise awareness of Treaty progress and developments within our communit</w:t>
            </w:r>
            <w:r w:rsidR="00335639">
              <w:rPr>
                <w:rFonts w:ascii="Poppins" w:hAnsi="Poppins" w:cs="Poppins"/>
              </w:rPr>
              <w:t>y.</w:t>
            </w:r>
          </w:p>
          <w:p w14:paraId="24146FFA" w14:textId="77777777" w:rsidR="00E36ED6"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4209" w:type="dxa"/>
            <w:tcBorders>
              <w:top w:val="single" w:sz="4" w:space="0" w:color="auto"/>
              <w:left w:val="single" w:sz="4" w:space="0" w:color="auto"/>
              <w:bottom w:val="single" w:sz="4" w:space="0" w:color="auto"/>
              <w:right w:val="single" w:sz="4" w:space="0" w:color="auto"/>
            </w:tcBorders>
            <w:shd w:val="clear" w:color="auto" w:fill="FFFFFF" w:themeFill="background1"/>
          </w:tcPr>
          <w:p w14:paraId="3F1888AF" w14:textId="5180A224" w:rsidR="00E36ED6" w:rsidRPr="00FA0A0F" w:rsidRDefault="00E36ED6" w:rsidP="00E36ED6">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FA0A0F">
              <w:rPr>
                <w:rFonts w:ascii="Poppins" w:hAnsi="Poppins" w:cs="Poppins"/>
              </w:rPr>
              <w:t>The First Peoples’ Assembly of Victoria was engaged to deliver a community information session on Treaty as part of Reconciliation Week 2026. While the event was unfortunately cancelled, efforts are underway to reschedule the session to provide the community with an opportunity to learn more about the Victorian Treaty process and its significance for First Nations peoples. In the meantime, the Shire will continue to promote its commitment to reconciliation and Treaty through its social media channels, encouraging community awareness, learning and engagement.</w:t>
            </w:r>
            <w:r w:rsidR="004B4EC9">
              <w:rPr>
                <w:rFonts w:ascii="Poppins" w:hAnsi="Poppins" w:cs="Poppins"/>
              </w:rPr>
              <w:t xml:space="preserve"> </w:t>
            </w:r>
          </w:p>
        </w:tc>
        <w:tc>
          <w:tcPr>
            <w:tcW w:w="1095" w:type="dxa"/>
            <w:tcBorders>
              <w:top w:val="single" w:sz="4" w:space="0" w:color="auto"/>
              <w:left w:val="single" w:sz="4" w:space="0" w:color="auto"/>
              <w:bottom w:val="single" w:sz="4" w:space="0" w:color="auto"/>
              <w:right w:val="single" w:sz="4" w:space="0" w:color="auto"/>
            </w:tcBorders>
            <w:shd w:val="clear" w:color="auto" w:fill="D6EBC4" w:themeFill="accent1" w:themeFillTint="66"/>
          </w:tcPr>
          <w:p w14:paraId="70F7080B" w14:textId="0A7FEFE2" w:rsidR="00E36ED6" w:rsidRPr="00FA0A0F" w:rsidRDefault="5B02CABB" w:rsidP="00E36ED6">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 track</w:t>
            </w:r>
          </w:p>
        </w:tc>
      </w:tr>
      <w:tr w:rsidR="00685B21" w:rsidRPr="006949AB" w14:paraId="19450B00" w14:textId="0C18C4C3" w:rsidTr="5E042A8F">
        <w:trPr>
          <w:cnfStyle w:val="000000010000" w:firstRow="0" w:lastRow="0" w:firstColumn="0" w:lastColumn="0" w:oddVBand="0" w:evenVBand="0" w:oddHBand="0" w:evenHBand="1" w:firstRowFirstColumn="0" w:firstRowLastColumn="0" w:lastRowFirstColumn="0" w:lastRowLastColumn="0"/>
          <w:trHeight w:val="2870"/>
        </w:trPr>
        <w:tc>
          <w:tcPr>
            <w:cnfStyle w:val="001000000000" w:firstRow="0" w:lastRow="0" w:firstColumn="1" w:lastColumn="0" w:oddVBand="0" w:evenVBand="0" w:oddHBand="0" w:evenHBand="0" w:firstRowFirstColumn="0" w:firstRowLastColumn="0" w:lastRowFirstColumn="0" w:lastRowLastColumn="0"/>
            <w:tcW w:w="2392" w:type="dxa"/>
            <w:vMerge/>
            <w:hideMark/>
          </w:tcPr>
          <w:p w14:paraId="5B23286C" w14:textId="77777777" w:rsidR="00685B21" w:rsidRPr="006949AB" w:rsidRDefault="00685B21" w:rsidP="00E36ED6">
            <w:pPr>
              <w:pStyle w:val="BodyText"/>
              <w:rPr>
                <w:rFonts w:ascii="Poppins" w:hAnsi="Poppins" w:cs="Poppins"/>
              </w:rPr>
            </w:pPr>
          </w:p>
        </w:tc>
        <w:tc>
          <w:tcPr>
            <w:tcW w:w="2006" w:type="dxa"/>
            <w:tcBorders>
              <w:top w:val="single" w:sz="4" w:space="0" w:color="auto"/>
              <w:left w:val="single" w:sz="4" w:space="0" w:color="auto"/>
              <w:bottom w:val="single" w:sz="4" w:space="0" w:color="auto"/>
              <w:right w:val="single" w:sz="4" w:space="0" w:color="auto"/>
            </w:tcBorders>
            <w:shd w:val="clear" w:color="auto" w:fill="auto"/>
            <w:hideMark/>
          </w:tcPr>
          <w:p w14:paraId="6ED291D2" w14:textId="6652218A" w:rsidR="00685B21" w:rsidRPr="006949AB" w:rsidRDefault="00685B21"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8.3 </w:t>
            </w:r>
            <w:r w:rsidRPr="00B142BF">
              <w:rPr>
                <w:rFonts w:ascii="Poppins" w:hAnsi="Poppins" w:cs="Poppins"/>
              </w:rPr>
              <w:t>Produce and promote Council media about Victorian Treaty advancement developments.</w:t>
            </w:r>
          </w:p>
        </w:tc>
        <w:tc>
          <w:tcPr>
            <w:tcW w:w="42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309EB3" w14:textId="7891C3A6" w:rsidR="00685B21" w:rsidRPr="006949AB" w:rsidRDefault="00685B21" w:rsidP="00E36ED6">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730CBE">
              <w:rPr>
                <w:rFonts w:ascii="Poppins" w:hAnsi="Poppins" w:cs="Poppins"/>
              </w:rPr>
              <w:t>Once the postponed Treaty information session is rescheduled,</w:t>
            </w:r>
            <w:r w:rsidR="004B4EC9">
              <w:rPr>
                <w:rFonts w:ascii="Poppins" w:hAnsi="Poppins" w:cs="Poppins"/>
              </w:rPr>
              <w:t xml:space="preserve"> </w:t>
            </w:r>
            <w:r w:rsidRPr="00730CBE">
              <w:rPr>
                <w:rFonts w:ascii="Poppins" w:hAnsi="Poppins" w:cs="Poppins"/>
              </w:rPr>
              <w:t>Comm</w:t>
            </w:r>
            <w:r w:rsidR="00D6776C">
              <w:rPr>
                <w:rFonts w:ascii="Poppins" w:hAnsi="Poppins" w:cs="Poppins"/>
              </w:rPr>
              <w:t>unications</w:t>
            </w:r>
            <w:r w:rsidRPr="00730CBE">
              <w:rPr>
                <w:rFonts w:ascii="Poppins" w:hAnsi="Poppins" w:cs="Poppins"/>
              </w:rPr>
              <w:t xml:space="preserve"> will</w:t>
            </w:r>
            <w:r w:rsidR="004B4EC9">
              <w:rPr>
                <w:rFonts w:ascii="Poppins" w:hAnsi="Poppins" w:cs="Poppins"/>
              </w:rPr>
              <w:t xml:space="preserve"> </w:t>
            </w:r>
            <w:r w:rsidRPr="00730CBE">
              <w:rPr>
                <w:rFonts w:ascii="Poppins" w:hAnsi="Poppins" w:cs="Poppins"/>
              </w:rPr>
              <w:t>utilise</w:t>
            </w:r>
            <w:r w:rsidR="004B4EC9">
              <w:rPr>
                <w:rFonts w:ascii="Poppins" w:hAnsi="Poppins" w:cs="Poppins"/>
              </w:rPr>
              <w:t xml:space="preserve"> </w:t>
            </w:r>
            <w:r w:rsidRPr="00730CBE">
              <w:rPr>
                <w:rFonts w:ascii="Poppins" w:hAnsi="Poppins" w:cs="Poppins"/>
              </w:rPr>
              <w:t>the Reconciliation Action Plan Comms Brief to ensure that this action is delivered.</w:t>
            </w:r>
            <w:r w:rsidR="004B4EC9">
              <w:rPr>
                <w:rFonts w:ascii="Poppins" w:hAnsi="Poppins" w:cs="Poppins"/>
              </w:rPr>
              <w:t xml:space="preserve"> </w:t>
            </w:r>
          </w:p>
        </w:tc>
        <w:tc>
          <w:tcPr>
            <w:tcW w:w="1095" w:type="dxa"/>
            <w:tcBorders>
              <w:top w:val="single" w:sz="4" w:space="0" w:color="auto"/>
              <w:left w:val="single" w:sz="4" w:space="0" w:color="auto"/>
              <w:right w:val="single" w:sz="4" w:space="0" w:color="auto"/>
            </w:tcBorders>
            <w:shd w:val="clear" w:color="auto" w:fill="D6EBC4" w:themeFill="accent1" w:themeFillTint="66"/>
          </w:tcPr>
          <w:p w14:paraId="2D41373F" w14:textId="1F858C97" w:rsidR="00685B21" w:rsidRPr="00730CBE" w:rsidRDefault="3BD8A1A8" w:rsidP="00E36ED6">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bl>
    <w:tbl>
      <w:tblPr>
        <w:tblStyle w:val="TableGrid"/>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3027"/>
        <w:gridCol w:w="3573"/>
        <w:gridCol w:w="1080"/>
      </w:tblGrid>
      <w:tr w:rsidR="00713A67" w:rsidRPr="006949AB" w14:paraId="031CB4A0" w14:textId="77777777" w:rsidTr="139CF35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22" w:type="dxa"/>
            <w:gridSpan w:val="4"/>
            <w:tcBorders>
              <w:bottom w:val="single" w:sz="4" w:space="0" w:color="auto"/>
            </w:tcBorders>
            <w:shd w:val="clear" w:color="auto" w:fill="auto"/>
          </w:tcPr>
          <w:p w14:paraId="16EC5244" w14:textId="26CB6C08" w:rsidR="00713A67" w:rsidRPr="00823B3E" w:rsidRDefault="00713A67" w:rsidP="00D720A9">
            <w:pPr>
              <w:rPr>
                <w:rFonts w:ascii="Poppins" w:hAnsi="Poppins" w:cs="Poppins"/>
                <w:bCs/>
              </w:rPr>
            </w:pPr>
            <w:r w:rsidRPr="00823B3E">
              <w:rPr>
                <w:rFonts w:ascii="Poppins" w:hAnsi="Poppins" w:cs="Poppins"/>
                <w:bCs/>
                <w:color w:val="auto"/>
                <w:sz w:val="24"/>
                <w:szCs w:val="24"/>
              </w:rPr>
              <w:t>Opportunities</w:t>
            </w:r>
          </w:p>
        </w:tc>
      </w:tr>
      <w:tr w:rsidR="00D720A9" w:rsidRPr="006949AB" w14:paraId="0E0736D4" w14:textId="7001A8C1"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tcBorders>
              <w:bottom w:val="single" w:sz="4" w:space="0" w:color="auto"/>
            </w:tcBorders>
            <w:shd w:val="clear" w:color="auto" w:fill="auto"/>
          </w:tcPr>
          <w:p w14:paraId="06003761" w14:textId="338B665D" w:rsidR="00D720A9" w:rsidRPr="00DE1D73" w:rsidRDefault="00D720A9" w:rsidP="00D720A9">
            <w:pPr>
              <w:pStyle w:val="BodyText"/>
              <w:rPr>
                <w:rFonts w:ascii="Poppins" w:hAnsi="Poppins" w:cs="Poppins"/>
                <w:bCs/>
              </w:rPr>
            </w:pPr>
            <w:r w:rsidRPr="00DE1D73">
              <w:rPr>
                <w:rFonts w:ascii="Poppins" w:hAnsi="Poppins" w:cs="Poppins"/>
                <w:bCs/>
              </w:rPr>
              <w:t>Action</w:t>
            </w:r>
          </w:p>
        </w:tc>
        <w:tc>
          <w:tcPr>
            <w:tcW w:w="3027" w:type="dxa"/>
            <w:tcBorders>
              <w:bottom w:val="single" w:sz="4" w:space="0" w:color="auto"/>
            </w:tcBorders>
            <w:shd w:val="clear" w:color="auto" w:fill="auto"/>
          </w:tcPr>
          <w:p w14:paraId="51593E62" w14:textId="05E2DC80" w:rsidR="00D720A9" w:rsidRPr="00DE1D73"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Cs/>
              </w:rPr>
            </w:pPr>
            <w:r w:rsidRPr="00DE1D73">
              <w:rPr>
                <w:rFonts w:ascii="Poppins" w:hAnsi="Poppins" w:cs="Poppins"/>
                <w:bCs/>
              </w:rPr>
              <w:t>Deliverable</w:t>
            </w:r>
          </w:p>
        </w:tc>
        <w:tc>
          <w:tcPr>
            <w:tcW w:w="3573" w:type="dxa"/>
            <w:tcBorders>
              <w:bottom w:val="single" w:sz="4" w:space="0" w:color="auto"/>
            </w:tcBorders>
            <w:shd w:val="clear" w:color="auto" w:fill="auto"/>
          </w:tcPr>
          <w:p w14:paraId="67BB0DA4" w14:textId="6B31BE63" w:rsidR="00D720A9" w:rsidRPr="00DE1D73"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Cs/>
              </w:rPr>
            </w:pPr>
            <w:r w:rsidRPr="00DE1D73">
              <w:rPr>
                <w:rFonts w:ascii="Poppins" w:hAnsi="Poppins" w:cs="Poppins"/>
                <w:bCs/>
              </w:rPr>
              <w:t>Annual Report</w:t>
            </w:r>
          </w:p>
        </w:tc>
        <w:tc>
          <w:tcPr>
            <w:tcW w:w="1080" w:type="dxa"/>
            <w:shd w:val="clear" w:color="auto" w:fill="auto"/>
          </w:tcPr>
          <w:p w14:paraId="1E56437B" w14:textId="2492F745" w:rsidR="00D720A9" w:rsidRPr="00DE1D73" w:rsidRDefault="00D720A9" w:rsidP="00D720A9">
            <w:pPr>
              <w:cnfStyle w:val="000000000000" w:firstRow="0" w:lastRow="0" w:firstColumn="0" w:lastColumn="0" w:oddVBand="0" w:evenVBand="0" w:oddHBand="0" w:evenHBand="0" w:firstRowFirstColumn="0" w:firstRowLastColumn="0" w:lastRowFirstColumn="0" w:lastRowLastColumn="0"/>
              <w:rPr>
                <w:rFonts w:ascii="Poppins" w:hAnsi="Poppins" w:cs="Poppins"/>
                <w:bCs/>
              </w:rPr>
            </w:pPr>
            <w:r w:rsidRPr="00DE1D73">
              <w:rPr>
                <w:rFonts w:ascii="Poppins" w:hAnsi="Poppins" w:cs="Poppins"/>
                <w:bCs/>
              </w:rPr>
              <w:t>Status</w:t>
            </w:r>
          </w:p>
        </w:tc>
      </w:tr>
      <w:tr w:rsidR="00D720A9" w:rsidRPr="006949AB" w14:paraId="66017E23" w14:textId="5E3C9AAB"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val="restart"/>
            <w:tcBorders>
              <w:bottom w:val="single" w:sz="4" w:space="0" w:color="auto"/>
            </w:tcBorders>
            <w:shd w:val="clear" w:color="auto" w:fill="auto"/>
            <w:hideMark/>
          </w:tcPr>
          <w:p w14:paraId="0CE34CDF" w14:textId="77777777" w:rsidR="00D720A9" w:rsidRDefault="00D720A9" w:rsidP="00D720A9">
            <w:pPr>
              <w:pStyle w:val="BodyText"/>
              <w:rPr>
                <w:rFonts w:ascii="Poppins" w:hAnsi="Poppins" w:cs="Poppins"/>
              </w:rPr>
            </w:pPr>
            <w:r>
              <w:rPr>
                <w:rFonts w:ascii="Poppins" w:hAnsi="Poppins" w:cs="Poppins"/>
              </w:rPr>
              <w:t>9</w:t>
            </w:r>
            <w:r w:rsidRPr="006949AB">
              <w:rPr>
                <w:rFonts w:ascii="Poppins" w:hAnsi="Poppins" w:cs="Poppins"/>
              </w:rPr>
              <w:t xml:space="preserve"> </w:t>
            </w:r>
            <w:r w:rsidRPr="00C13E98">
              <w:rPr>
                <w:rFonts w:ascii="Poppins" w:hAnsi="Poppins" w:cs="Poppins"/>
              </w:rPr>
              <w:t>Improve employment outcomes by increasing Aboriginal and Torres Strait Islander recruitment, retention, and professional development.</w:t>
            </w:r>
            <w:r w:rsidRPr="00B77C96">
              <w:rPr>
                <w:rFonts w:ascii="Poppins" w:hAnsi="Poppins" w:cs="Poppins"/>
              </w:rPr>
              <w:t>  </w:t>
            </w:r>
          </w:p>
          <w:p w14:paraId="75151D03" w14:textId="77777777" w:rsidR="00D720A9" w:rsidRDefault="00D720A9" w:rsidP="00D720A9">
            <w:pPr>
              <w:pStyle w:val="BodyText"/>
              <w:rPr>
                <w:rFonts w:ascii="Poppins" w:hAnsi="Poppins" w:cs="Poppins"/>
              </w:rPr>
            </w:pPr>
          </w:p>
          <w:p w14:paraId="10D68B5D" w14:textId="77777777" w:rsidR="00D720A9" w:rsidRDefault="00D720A9" w:rsidP="00D720A9">
            <w:pPr>
              <w:pStyle w:val="BodyText"/>
              <w:rPr>
                <w:rFonts w:ascii="Poppins" w:hAnsi="Poppins" w:cs="Poppins"/>
              </w:rPr>
            </w:pPr>
          </w:p>
          <w:p w14:paraId="3C04FF1F" w14:textId="77777777" w:rsidR="00D720A9" w:rsidRDefault="00D720A9" w:rsidP="00D720A9">
            <w:pPr>
              <w:pStyle w:val="BodyText"/>
              <w:rPr>
                <w:rFonts w:ascii="Poppins" w:hAnsi="Poppins" w:cs="Poppins"/>
              </w:rPr>
            </w:pPr>
          </w:p>
          <w:p w14:paraId="1A4FB2CD" w14:textId="77777777" w:rsidR="00D720A9" w:rsidRDefault="00D720A9" w:rsidP="00D720A9">
            <w:pPr>
              <w:pStyle w:val="BodyText"/>
              <w:rPr>
                <w:rFonts w:ascii="Poppins" w:hAnsi="Poppins" w:cs="Poppins"/>
              </w:rPr>
            </w:pPr>
          </w:p>
          <w:p w14:paraId="3B0C2379" w14:textId="77777777" w:rsidR="00D720A9" w:rsidRDefault="00D720A9" w:rsidP="00D720A9">
            <w:pPr>
              <w:pStyle w:val="BodyText"/>
              <w:rPr>
                <w:rFonts w:ascii="Poppins" w:hAnsi="Poppins" w:cs="Poppins"/>
              </w:rPr>
            </w:pPr>
          </w:p>
          <w:p w14:paraId="7D101929" w14:textId="77777777" w:rsidR="00D720A9" w:rsidRDefault="00D720A9" w:rsidP="00D720A9">
            <w:pPr>
              <w:pStyle w:val="BodyText"/>
              <w:rPr>
                <w:rFonts w:ascii="Poppins" w:hAnsi="Poppins" w:cs="Poppins"/>
              </w:rPr>
            </w:pPr>
          </w:p>
          <w:p w14:paraId="006587D2" w14:textId="77777777" w:rsidR="00D720A9" w:rsidRDefault="00D720A9" w:rsidP="00D720A9">
            <w:pPr>
              <w:pStyle w:val="BodyText"/>
              <w:rPr>
                <w:rFonts w:ascii="Poppins" w:hAnsi="Poppins" w:cs="Poppins"/>
              </w:rPr>
            </w:pPr>
          </w:p>
          <w:p w14:paraId="055E95DD" w14:textId="77777777" w:rsidR="00D720A9" w:rsidRDefault="00D720A9" w:rsidP="00D720A9">
            <w:pPr>
              <w:pStyle w:val="BodyText"/>
              <w:rPr>
                <w:rFonts w:ascii="Poppins" w:hAnsi="Poppins" w:cs="Poppins"/>
              </w:rPr>
            </w:pPr>
          </w:p>
          <w:p w14:paraId="7F0A69A5" w14:textId="77777777" w:rsidR="00D720A9" w:rsidRDefault="00D720A9" w:rsidP="00D720A9">
            <w:pPr>
              <w:pStyle w:val="BodyText"/>
              <w:rPr>
                <w:rFonts w:ascii="Poppins" w:hAnsi="Poppins" w:cs="Poppins"/>
              </w:rPr>
            </w:pPr>
          </w:p>
          <w:p w14:paraId="56E0A284" w14:textId="77777777" w:rsidR="00D720A9" w:rsidRDefault="00D720A9" w:rsidP="00D720A9">
            <w:pPr>
              <w:pStyle w:val="BodyText"/>
              <w:rPr>
                <w:rFonts w:ascii="Poppins" w:hAnsi="Poppins" w:cs="Poppins"/>
              </w:rPr>
            </w:pPr>
          </w:p>
          <w:p w14:paraId="3A7D4590" w14:textId="77777777" w:rsidR="00D720A9" w:rsidRDefault="00D720A9" w:rsidP="00D720A9">
            <w:pPr>
              <w:pStyle w:val="BodyText"/>
              <w:rPr>
                <w:rFonts w:ascii="Poppins" w:hAnsi="Poppins" w:cs="Poppins"/>
              </w:rPr>
            </w:pPr>
          </w:p>
          <w:p w14:paraId="77E6F050" w14:textId="77777777" w:rsidR="00D720A9" w:rsidRDefault="00D720A9" w:rsidP="00D720A9">
            <w:pPr>
              <w:pStyle w:val="BodyText"/>
              <w:rPr>
                <w:rFonts w:ascii="Poppins" w:hAnsi="Poppins" w:cs="Poppins"/>
              </w:rPr>
            </w:pPr>
          </w:p>
          <w:p w14:paraId="59897A7D" w14:textId="77777777" w:rsidR="00D720A9" w:rsidRDefault="00D720A9" w:rsidP="00D720A9">
            <w:pPr>
              <w:pStyle w:val="BodyText"/>
              <w:rPr>
                <w:rFonts w:ascii="Poppins" w:hAnsi="Poppins" w:cs="Poppins"/>
              </w:rPr>
            </w:pPr>
          </w:p>
          <w:p w14:paraId="776B5706" w14:textId="77777777" w:rsidR="00D720A9" w:rsidRDefault="00D720A9" w:rsidP="00D720A9">
            <w:pPr>
              <w:pStyle w:val="BodyText"/>
              <w:rPr>
                <w:rFonts w:ascii="Poppins" w:hAnsi="Poppins" w:cs="Poppins"/>
              </w:rPr>
            </w:pPr>
          </w:p>
          <w:p w14:paraId="68503B0E" w14:textId="77777777" w:rsidR="00D720A9" w:rsidRDefault="00D720A9" w:rsidP="00D720A9">
            <w:pPr>
              <w:pStyle w:val="BodyText"/>
              <w:rPr>
                <w:rFonts w:ascii="Poppins" w:hAnsi="Poppins" w:cs="Poppins"/>
              </w:rPr>
            </w:pPr>
          </w:p>
          <w:p w14:paraId="54F40F43" w14:textId="77777777" w:rsidR="00D720A9" w:rsidRDefault="00D720A9" w:rsidP="00D720A9">
            <w:pPr>
              <w:pStyle w:val="BodyText"/>
              <w:rPr>
                <w:rFonts w:ascii="Poppins" w:hAnsi="Poppins" w:cs="Poppins"/>
              </w:rPr>
            </w:pPr>
          </w:p>
          <w:p w14:paraId="6B70D712" w14:textId="77777777" w:rsidR="00D720A9" w:rsidRDefault="00D720A9" w:rsidP="00D720A9">
            <w:pPr>
              <w:pStyle w:val="BodyText"/>
              <w:rPr>
                <w:rFonts w:ascii="Poppins" w:hAnsi="Poppins" w:cs="Poppins"/>
              </w:rPr>
            </w:pPr>
          </w:p>
          <w:p w14:paraId="55F916A7" w14:textId="77777777" w:rsidR="00D720A9" w:rsidRDefault="00D720A9" w:rsidP="00D720A9">
            <w:pPr>
              <w:pStyle w:val="BodyText"/>
              <w:rPr>
                <w:rFonts w:ascii="Poppins" w:hAnsi="Poppins" w:cs="Poppins"/>
              </w:rPr>
            </w:pPr>
          </w:p>
          <w:p w14:paraId="661B5C99" w14:textId="77777777" w:rsidR="00D720A9" w:rsidRDefault="00D720A9" w:rsidP="00D720A9">
            <w:pPr>
              <w:pStyle w:val="BodyText"/>
              <w:rPr>
                <w:rFonts w:ascii="Poppins" w:hAnsi="Poppins" w:cs="Poppins"/>
              </w:rPr>
            </w:pPr>
          </w:p>
          <w:p w14:paraId="494FA4EE" w14:textId="77777777" w:rsidR="00D720A9" w:rsidRDefault="00D720A9" w:rsidP="00D720A9">
            <w:pPr>
              <w:pStyle w:val="BodyText"/>
              <w:rPr>
                <w:rFonts w:ascii="Poppins" w:hAnsi="Poppins" w:cs="Poppins"/>
              </w:rPr>
            </w:pPr>
          </w:p>
          <w:p w14:paraId="69E5D15F" w14:textId="77777777" w:rsidR="00D720A9" w:rsidRDefault="00D720A9" w:rsidP="00D720A9">
            <w:pPr>
              <w:pStyle w:val="BodyText"/>
              <w:rPr>
                <w:rFonts w:ascii="Poppins" w:hAnsi="Poppins" w:cs="Poppins"/>
              </w:rPr>
            </w:pPr>
          </w:p>
          <w:p w14:paraId="3BF2E2D6" w14:textId="77777777" w:rsidR="00D720A9" w:rsidRDefault="00D720A9" w:rsidP="00D720A9">
            <w:pPr>
              <w:pStyle w:val="BodyText"/>
              <w:rPr>
                <w:rFonts w:ascii="Poppins" w:hAnsi="Poppins" w:cs="Poppins"/>
              </w:rPr>
            </w:pPr>
          </w:p>
          <w:p w14:paraId="27A74280" w14:textId="77777777" w:rsidR="00D720A9" w:rsidRDefault="00D720A9" w:rsidP="00D720A9">
            <w:pPr>
              <w:pStyle w:val="BodyText"/>
              <w:rPr>
                <w:rFonts w:ascii="Poppins" w:hAnsi="Poppins" w:cs="Poppins"/>
              </w:rPr>
            </w:pPr>
          </w:p>
          <w:p w14:paraId="0DF1CF38" w14:textId="77777777" w:rsidR="00D720A9" w:rsidRDefault="00D720A9" w:rsidP="00D720A9">
            <w:pPr>
              <w:pStyle w:val="BodyText"/>
              <w:rPr>
                <w:rFonts w:ascii="Poppins" w:hAnsi="Poppins" w:cs="Poppins"/>
              </w:rPr>
            </w:pPr>
          </w:p>
          <w:p w14:paraId="7D94E475" w14:textId="77777777" w:rsidR="00D720A9" w:rsidRDefault="00D720A9" w:rsidP="00D720A9">
            <w:pPr>
              <w:pStyle w:val="BodyText"/>
              <w:rPr>
                <w:rFonts w:ascii="Poppins" w:hAnsi="Poppins" w:cs="Poppins"/>
              </w:rPr>
            </w:pPr>
          </w:p>
          <w:p w14:paraId="1E45ED8A" w14:textId="77777777" w:rsidR="00D720A9" w:rsidRDefault="00D720A9" w:rsidP="00D720A9">
            <w:pPr>
              <w:pStyle w:val="BodyText"/>
              <w:rPr>
                <w:rFonts w:ascii="Poppins" w:hAnsi="Poppins" w:cs="Poppins"/>
              </w:rPr>
            </w:pPr>
          </w:p>
          <w:p w14:paraId="255C03E3" w14:textId="77777777" w:rsidR="00D720A9" w:rsidRDefault="00D720A9" w:rsidP="00D720A9">
            <w:pPr>
              <w:pStyle w:val="BodyText"/>
              <w:rPr>
                <w:rFonts w:ascii="Poppins" w:hAnsi="Poppins" w:cs="Poppins"/>
              </w:rPr>
            </w:pPr>
          </w:p>
          <w:p w14:paraId="6AF10369" w14:textId="77777777" w:rsidR="00D720A9" w:rsidRDefault="00D720A9" w:rsidP="00D720A9">
            <w:pPr>
              <w:pStyle w:val="BodyText"/>
              <w:rPr>
                <w:rFonts w:ascii="Poppins" w:hAnsi="Poppins" w:cs="Poppins"/>
              </w:rPr>
            </w:pPr>
          </w:p>
          <w:p w14:paraId="58EDF138" w14:textId="77777777" w:rsidR="00D720A9" w:rsidRDefault="00D720A9" w:rsidP="00D720A9">
            <w:pPr>
              <w:pStyle w:val="BodyText"/>
              <w:rPr>
                <w:rFonts w:ascii="Poppins" w:hAnsi="Poppins" w:cs="Poppins"/>
              </w:rPr>
            </w:pPr>
          </w:p>
          <w:p w14:paraId="68C998B2" w14:textId="77777777" w:rsidR="00D720A9" w:rsidRDefault="00D720A9" w:rsidP="00D720A9">
            <w:pPr>
              <w:pStyle w:val="BodyText"/>
              <w:rPr>
                <w:rFonts w:ascii="Poppins" w:hAnsi="Poppins" w:cs="Poppins"/>
              </w:rPr>
            </w:pPr>
          </w:p>
          <w:p w14:paraId="5EEAD277" w14:textId="77777777" w:rsidR="00D720A9" w:rsidRDefault="00D720A9" w:rsidP="00D720A9">
            <w:pPr>
              <w:pStyle w:val="BodyText"/>
              <w:rPr>
                <w:rFonts w:ascii="Poppins" w:hAnsi="Poppins" w:cs="Poppins"/>
              </w:rPr>
            </w:pPr>
          </w:p>
          <w:p w14:paraId="18F0672A" w14:textId="77777777" w:rsidR="00D720A9" w:rsidRDefault="00D720A9" w:rsidP="00D720A9">
            <w:pPr>
              <w:pStyle w:val="BodyText"/>
              <w:rPr>
                <w:rFonts w:ascii="Poppins" w:hAnsi="Poppins" w:cs="Poppins"/>
              </w:rPr>
            </w:pPr>
          </w:p>
          <w:p w14:paraId="2EF6474B" w14:textId="77777777" w:rsidR="00D720A9" w:rsidRDefault="00D720A9" w:rsidP="00D720A9">
            <w:pPr>
              <w:pStyle w:val="BodyText"/>
              <w:rPr>
                <w:rFonts w:ascii="Poppins" w:hAnsi="Poppins" w:cs="Poppins"/>
              </w:rPr>
            </w:pPr>
          </w:p>
          <w:p w14:paraId="310337AA" w14:textId="77777777" w:rsidR="00D720A9" w:rsidRDefault="00D720A9" w:rsidP="00D720A9">
            <w:pPr>
              <w:pStyle w:val="BodyText"/>
              <w:rPr>
                <w:rFonts w:ascii="Poppins" w:hAnsi="Poppins" w:cs="Poppins"/>
              </w:rPr>
            </w:pPr>
          </w:p>
          <w:p w14:paraId="1A63D091" w14:textId="2424249A" w:rsidR="00D720A9" w:rsidRPr="006949AB" w:rsidRDefault="00D720A9" w:rsidP="00D720A9">
            <w:pPr>
              <w:pStyle w:val="BodyText"/>
              <w:rPr>
                <w:rFonts w:ascii="Poppins" w:hAnsi="Poppins" w:cs="Poppins"/>
              </w:rPr>
            </w:pPr>
          </w:p>
        </w:tc>
        <w:tc>
          <w:tcPr>
            <w:tcW w:w="3027" w:type="dxa"/>
            <w:tcBorders>
              <w:bottom w:val="single" w:sz="4" w:space="0" w:color="auto"/>
            </w:tcBorders>
            <w:shd w:val="clear" w:color="auto" w:fill="auto"/>
            <w:hideMark/>
          </w:tcPr>
          <w:p w14:paraId="024502E0" w14:textId="6D712D87"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lastRenderedPageBreak/>
              <w:t>9</w:t>
            </w:r>
            <w:r w:rsidRPr="006949AB">
              <w:rPr>
                <w:rFonts w:ascii="Poppins" w:hAnsi="Poppins" w:cs="Poppins"/>
              </w:rPr>
              <w:t xml:space="preserve">.1 </w:t>
            </w:r>
            <w:r w:rsidRPr="00D93187">
              <w:rPr>
                <w:rFonts w:ascii="Poppins" w:hAnsi="Poppins" w:cs="Poppins"/>
              </w:rPr>
              <w:t>Build understanding of current Aboriginal and Torres Strait Islander staffing to inform future employment and professional development opportunities. </w:t>
            </w:r>
          </w:p>
        </w:tc>
        <w:tc>
          <w:tcPr>
            <w:tcW w:w="3573" w:type="dxa"/>
            <w:tcBorders>
              <w:bottom w:val="single" w:sz="4" w:space="0" w:color="auto"/>
            </w:tcBorders>
            <w:shd w:val="clear" w:color="auto" w:fill="FFFFFF" w:themeFill="background1"/>
            <w:hideMark/>
          </w:tcPr>
          <w:p w14:paraId="130FF39D" w14:textId="46E12C85"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3C5159">
              <w:rPr>
                <w:rFonts w:ascii="Poppins" w:hAnsi="Poppins" w:cs="Poppins"/>
              </w:rPr>
              <w:t>New recruitment strategies have been trialled to enhance the attraction and recruitment of First Nations employees and support a more inclusive workforce. Feedback and outcomes are currently being reviewed to</w:t>
            </w:r>
            <w:r w:rsidR="004B4EC9">
              <w:rPr>
                <w:rFonts w:ascii="Poppins" w:hAnsi="Poppins" w:cs="Poppins"/>
              </w:rPr>
              <w:t xml:space="preserve"> </w:t>
            </w:r>
            <w:r w:rsidRPr="003C5159">
              <w:rPr>
                <w:rFonts w:ascii="Poppins" w:hAnsi="Poppins" w:cs="Poppins"/>
              </w:rPr>
              <w:t>identify</w:t>
            </w:r>
            <w:r w:rsidR="004B4EC9">
              <w:rPr>
                <w:rFonts w:ascii="Poppins" w:hAnsi="Poppins" w:cs="Poppins"/>
              </w:rPr>
              <w:t xml:space="preserve"> </w:t>
            </w:r>
            <w:r w:rsidRPr="003C5159">
              <w:rPr>
                <w:rFonts w:ascii="Poppins" w:hAnsi="Poppins" w:cs="Poppins"/>
              </w:rPr>
              <w:t>opportunities for improvement and inform future recruitment practices aimed at increasing First Nations employment across the organisation. </w:t>
            </w:r>
          </w:p>
        </w:tc>
        <w:tc>
          <w:tcPr>
            <w:tcW w:w="1080" w:type="dxa"/>
            <w:tcBorders>
              <w:bottom w:val="single" w:sz="4" w:space="0" w:color="auto"/>
            </w:tcBorders>
            <w:shd w:val="clear" w:color="auto" w:fill="FFE8BC" w:themeFill="accent3" w:themeFillTint="66"/>
          </w:tcPr>
          <w:p w14:paraId="56067B2B" w14:textId="4B6DE216" w:rsidR="00D720A9" w:rsidRPr="003C5159" w:rsidRDefault="4453734F"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D720A9" w:rsidRPr="006949AB" w14:paraId="0E516433" w14:textId="29EB2091"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hideMark/>
          </w:tcPr>
          <w:p w14:paraId="2E2FF140" w14:textId="77777777" w:rsidR="00D720A9" w:rsidRPr="006949AB" w:rsidRDefault="00D720A9" w:rsidP="00D720A9">
            <w:pPr>
              <w:pStyle w:val="BodyText"/>
              <w:rPr>
                <w:rFonts w:ascii="Poppins" w:hAnsi="Poppins" w:cs="Poppins"/>
              </w:rPr>
            </w:pPr>
          </w:p>
        </w:tc>
        <w:tc>
          <w:tcPr>
            <w:tcW w:w="3027" w:type="dxa"/>
            <w:tcBorders>
              <w:bottom w:val="single" w:sz="4" w:space="0" w:color="auto"/>
            </w:tcBorders>
            <w:shd w:val="clear" w:color="auto" w:fill="auto"/>
            <w:hideMark/>
          </w:tcPr>
          <w:p w14:paraId="00470270" w14:textId="117C5DFF"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9</w:t>
            </w:r>
            <w:r w:rsidRPr="006949AB">
              <w:rPr>
                <w:rFonts w:ascii="Poppins" w:hAnsi="Poppins" w:cs="Poppins"/>
              </w:rPr>
              <w:t xml:space="preserve">.2 </w:t>
            </w:r>
            <w:r w:rsidRPr="00EE1581">
              <w:rPr>
                <w:rFonts w:ascii="Poppins" w:hAnsi="Poppins" w:cs="Poppins"/>
              </w:rPr>
              <w:t>Review and engage with Aboriginal and Torres Strait Islander staff to consult on our recruitment,</w:t>
            </w:r>
            <w:r w:rsidR="00BB197E">
              <w:rPr>
                <w:rFonts w:ascii="Poppins" w:hAnsi="Poppins" w:cs="Poppins"/>
              </w:rPr>
              <w:t xml:space="preserve"> </w:t>
            </w:r>
            <w:r w:rsidRPr="00EE1581">
              <w:rPr>
                <w:rFonts w:ascii="Poppins" w:hAnsi="Poppins" w:cs="Poppins"/>
              </w:rPr>
              <w:t>retention</w:t>
            </w:r>
            <w:r w:rsidR="00BB197E">
              <w:rPr>
                <w:rFonts w:ascii="Poppins" w:hAnsi="Poppins" w:cs="Poppins"/>
              </w:rPr>
              <w:t xml:space="preserve"> </w:t>
            </w:r>
            <w:r w:rsidRPr="00EE1581">
              <w:rPr>
                <w:rFonts w:ascii="Poppins" w:hAnsi="Poppins" w:cs="Poppins"/>
              </w:rPr>
              <w:t>and professional development strategy.</w:t>
            </w:r>
          </w:p>
        </w:tc>
        <w:tc>
          <w:tcPr>
            <w:tcW w:w="3573" w:type="dxa"/>
            <w:tcBorders>
              <w:bottom w:val="single" w:sz="4" w:space="0" w:color="auto"/>
            </w:tcBorders>
            <w:shd w:val="clear" w:color="auto" w:fill="FFFFFF" w:themeFill="background1"/>
            <w:hideMark/>
          </w:tcPr>
          <w:p w14:paraId="79460597" w14:textId="4819B9ED"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730AEC">
              <w:rPr>
                <w:rFonts w:ascii="Poppins" w:hAnsi="Poppins" w:cs="Poppins"/>
              </w:rPr>
              <w:t>New recruitment strategies have been trialled to enhance the attraction and recruitment of First Nations employees and support a more inclusive workforce. Feedback and outcomes are currently being reviewed to</w:t>
            </w:r>
            <w:r w:rsidR="00BB197E">
              <w:rPr>
                <w:rFonts w:ascii="Poppins" w:hAnsi="Poppins" w:cs="Poppins"/>
              </w:rPr>
              <w:t xml:space="preserve"> </w:t>
            </w:r>
            <w:r w:rsidRPr="00730AEC">
              <w:rPr>
                <w:rFonts w:ascii="Poppins" w:hAnsi="Poppins" w:cs="Poppins"/>
              </w:rPr>
              <w:t>identify</w:t>
            </w:r>
            <w:r w:rsidR="00BB197E">
              <w:rPr>
                <w:rFonts w:ascii="Poppins" w:hAnsi="Poppins" w:cs="Poppins"/>
              </w:rPr>
              <w:t xml:space="preserve"> </w:t>
            </w:r>
            <w:r w:rsidRPr="00730AEC">
              <w:rPr>
                <w:rFonts w:ascii="Poppins" w:hAnsi="Poppins" w:cs="Poppins"/>
              </w:rPr>
              <w:t>opportunities for improvement and inform future recruitment practices aimed at increasing First Nations employment across the organisation. </w:t>
            </w:r>
          </w:p>
        </w:tc>
        <w:tc>
          <w:tcPr>
            <w:tcW w:w="1080" w:type="dxa"/>
            <w:tcBorders>
              <w:bottom w:val="single" w:sz="4" w:space="0" w:color="auto"/>
            </w:tcBorders>
            <w:shd w:val="clear" w:color="auto" w:fill="FFE8BC" w:themeFill="accent3" w:themeFillTint="66"/>
          </w:tcPr>
          <w:p w14:paraId="3C4D3484" w14:textId="7C6553AE" w:rsidR="00D720A9" w:rsidRPr="00730AEC" w:rsidRDefault="6181AAE9"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D720A9" w:rsidRPr="006949AB" w14:paraId="39BBEEA8" w14:textId="4D826241"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hideMark/>
          </w:tcPr>
          <w:p w14:paraId="3739FA38" w14:textId="77777777" w:rsidR="00D720A9" w:rsidRPr="006949AB" w:rsidRDefault="00D720A9" w:rsidP="00D720A9">
            <w:pPr>
              <w:pStyle w:val="BodyText"/>
              <w:rPr>
                <w:rFonts w:ascii="Poppins" w:hAnsi="Poppins" w:cs="Poppins"/>
              </w:rPr>
            </w:pPr>
          </w:p>
        </w:tc>
        <w:tc>
          <w:tcPr>
            <w:tcW w:w="3027" w:type="dxa"/>
            <w:tcBorders>
              <w:bottom w:val="single" w:sz="4" w:space="0" w:color="auto"/>
            </w:tcBorders>
            <w:shd w:val="clear" w:color="auto" w:fill="auto"/>
            <w:hideMark/>
          </w:tcPr>
          <w:p w14:paraId="464113EE" w14:textId="282F82E8"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9</w:t>
            </w:r>
            <w:r w:rsidRPr="006949AB">
              <w:rPr>
                <w:rFonts w:ascii="Poppins" w:hAnsi="Poppins" w:cs="Poppins"/>
              </w:rPr>
              <w:t xml:space="preserve">.3 </w:t>
            </w:r>
            <w:r w:rsidRPr="00BD3137">
              <w:rPr>
                <w:rFonts w:ascii="Poppins" w:hAnsi="Poppins" w:cs="Poppins"/>
              </w:rPr>
              <w:t>Develop and implement an Aboriginal and Torres Strait Islander recruitment,</w:t>
            </w:r>
            <w:r w:rsidR="00BB197E">
              <w:rPr>
                <w:rFonts w:ascii="Poppins" w:hAnsi="Poppins" w:cs="Poppins"/>
              </w:rPr>
              <w:t xml:space="preserve"> </w:t>
            </w:r>
            <w:r w:rsidRPr="00BD3137">
              <w:rPr>
                <w:rFonts w:ascii="Poppins" w:hAnsi="Poppins" w:cs="Poppins"/>
              </w:rPr>
              <w:t>retention</w:t>
            </w:r>
            <w:r w:rsidR="00BB197E">
              <w:rPr>
                <w:rFonts w:ascii="Poppins" w:hAnsi="Poppins" w:cs="Poppins"/>
              </w:rPr>
              <w:t xml:space="preserve"> </w:t>
            </w:r>
            <w:r w:rsidRPr="00BD3137">
              <w:rPr>
                <w:rFonts w:ascii="Poppins" w:hAnsi="Poppins" w:cs="Poppins"/>
              </w:rPr>
              <w:t>and professional development strategy.</w:t>
            </w:r>
            <w:r w:rsidR="00BB197E">
              <w:rPr>
                <w:rFonts w:ascii="Poppins" w:hAnsi="Poppins" w:cs="Poppins"/>
              </w:rPr>
              <w:t xml:space="preserve"> </w:t>
            </w:r>
          </w:p>
        </w:tc>
        <w:tc>
          <w:tcPr>
            <w:tcW w:w="3573" w:type="dxa"/>
            <w:tcBorders>
              <w:bottom w:val="single" w:sz="4" w:space="0" w:color="auto"/>
            </w:tcBorders>
            <w:shd w:val="clear" w:color="auto" w:fill="FFFFFF" w:themeFill="background1"/>
            <w:hideMark/>
          </w:tcPr>
          <w:p w14:paraId="0FAEA350" w14:textId="00BAEC31"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134790">
              <w:rPr>
                <w:rFonts w:ascii="Poppins" w:hAnsi="Poppins" w:cs="Poppins"/>
              </w:rPr>
              <w:t>New recruitment strategies have been trialled to enhance the attraction and recruitment of First Nations employees and support a more inclusive workforce. Feedback and outcomes are currently being reviewed to</w:t>
            </w:r>
            <w:r w:rsidR="00BB197E">
              <w:rPr>
                <w:rFonts w:ascii="Poppins" w:hAnsi="Poppins" w:cs="Poppins"/>
              </w:rPr>
              <w:t xml:space="preserve"> </w:t>
            </w:r>
            <w:r w:rsidRPr="00134790">
              <w:rPr>
                <w:rFonts w:ascii="Poppins" w:hAnsi="Poppins" w:cs="Poppins"/>
              </w:rPr>
              <w:t>identify</w:t>
            </w:r>
            <w:r w:rsidR="00BB197E">
              <w:rPr>
                <w:rFonts w:ascii="Poppins" w:hAnsi="Poppins" w:cs="Poppins"/>
              </w:rPr>
              <w:t xml:space="preserve"> </w:t>
            </w:r>
            <w:r w:rsidRPr="00134790">
              <w:rPr>
                <w:rFonts w:ascii="Poppins" w:hAnsi="Poppins" w:cs="Poppins"/>
              </w:rPr>
              <w:t>opportunities for improvement and inform future recruitment practices aimed at increasing First Nations employment across the organisation. </w:t>
            </w:r>
          </w:p>
        </w:tc>
        <w:tc>
          <w:tcPr>
            <w:tcW w:w="1080" w:type="dxa"/>
            <w:tcBorders>
              <w:bottom w:val="single" w:sz="4" w:space="0" w:color="auto"/>
            </w:tcBorders>
            <w:shd w:val="clear" w:color="auto" w:fill="FFE8BC" w:themeFill="accent3" w:themeFillTint="66"/>
          </w:tcPr>
          <w:p w14:paraId="1E002A69" w14:textId="3E48652D" w:rsidR="00D720A9" w:rsidRPr="00134790" w:rsidRDefault="4C583943"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D720A9" w:rsidRPr="006949AB" w14:paraId="3F11C473" w14:textId="0F675FCF"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28335506" w14:textId="77777777" w:rsidR="00D720A9" w:rsidRPr="006949AB" w:rsidRDefault="00D720A9" w:rsidP="00D720A9">
            <w:pPr>
              <w:pStyle w:val="BodyText"/>
              <w:rPr>
                <w:rFonts w:ascii="Poppins" w:hAnsi="Poppins" w:cs="Poppins"/>
              </w:rPr>
            </w:pPr>
          </w:p>
        </w:tc>
        <w:tc>
          <w:tcPr>
            <w:tcW w:w="3027" w:type="dxa"/>
            <w:shd w:val="clear" w:color="auto" w:fill="auto"/>
          </w:tcPr>
          <w:p w14:paraId="5451922F" w14:textId="3C80C2F2"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9.4 </w:t>
            </w:r>
            <w:r w:rsidRPr="0092611A">
              <w:rPr>
                <w:rFonts w:ascii="Poppins" w:hAnsi="Poppins" w:cs="Poppins"/>
              </w:rPr>
              <w:t xml:space="preserve">Advertise job vacancies to effectively reach Aboriginal and </w:t>
            </w:r>
            <w:r w:rsidRPr="0092611A">
              <w:rPr>
                <w:rFonts w:ascii="Poppins" w:hAnsi="Poppins" w:cs="Poppins"/>
              </w:rPr>
              <w:lastRenderedPageBreak/>
              <w:t>Torres Strait Islander stakeholders.</w:t>
            </w:r>
          </w:p>
        </w:tc>
        <w:tc>
          <w:tcPr>
            <w:tcW w:w="3573" w:type="dxa"/>
            <w:shd w:val="clear" w:color="auto" w:fill="FFFFFF" w:themeFill="background1"/>
          </w:tcPr>
          <w:p w14:paraId="5861E818" w14:textId="3FC0EDC6"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081A24">
              <w:rPr>
                <w:rFonts w:ascii="Poppins" w:hAnsi="Poppins" w:cs="Poppins"/>
              </w:rPr>
              <w:lastRenderedPageBreak/>
              <w:t>Job advertisements and position descriptions</w:t>
            </w:r>
            <w:r w:rsidR="00162FD8">
              <w:rPr>
                <w:rFonts w:ascii="Poppins" w:hAnsi="Poppins" w:cs="Poppins"/>
              </w:rPr>
              <w:t xml:space="preserve"> </w:t>
            </w:r>
            <w:r w:rsidRPr="00081A24">
              <w:rPr>
                <w:rFonts w:ascii="Poppins" w:hAnsi="Poppins" w:cs="Poppins"/>
              </w:rPr>
              <w:t xml:space="preserve">have been updated to be </w:t>
            </w:r>
            <w:r w:rsidRPr="00081A24">
              <w:rPr>
                <w:rFonts w:ascii="Poppins" w:hAnsi="Poppins" w:cs="Poppins"/>
              </w:rPr>
              <w:lastRenderedPageBreak/>
              <w:t xml:space="preserve">inclusive. Ongoing review with workforce plan is </w:t>
            </w:r>
            <w:r w:rsidR="009208AF" w:rsidRPr="00081A24">
              <w:rPr>
                <w:rFonts w:ascii="Poppins" w:hAnsi="Poppins" w:cs="Poppins"/>
              </w:rPr>
              <w:t>scheduled</w:t>
            </w:r>
            <w:r w:rsidRPr="00081A24">
              <w:rPr>
                <w:rFonts w:ascii="Poppins" w:hAnsi="Poppins" w:cs="Poppins"/>
              </w:rPr>
              <w:t>.</w:t>
            </w:r>
          </w:p>
        </w:tc>
        <w:tc>
          <w:tcPr>
            <w:tcW w:w="1080" w:type="dxa"/>
            <w:shd w:val="clear" w:color="auto" w:fill="FFE8BC" w:themeFill="accent3" w:themeFillTint="66"/>
          </w:tcPr>
          <w:p w14:paraId="0BD345B8" w14:textId="180D12F9" w:rsidR="00D720A9" w:rsidRPr="00081A24" w:rsidRDefault="3C712151"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lastRenderedPageBreak/>
              <w:t>Monitor</w:t>
            </w:r>
          </w:p>
        </w:tc>
      </w:tr>
      <w:tr w:rsidR="00D720A9" w:rsidRPr="006949AB" w14:paraId="455BC867" w14:textId="1D758927"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5A5C97DC" w14:textId="77777777" w:rsidR="00D720A9" w:rsidRPr="006949AB" w:rsidRDefault="00D720A9" w:rsidP="00D720A9">
            <w:pPr>
              <w:pStyle w:val="BodyText"/>
              <w:rPr>
                <w:rFonts w:ascii="Poppins" w:hAnsi="Poppins" w:cs="Poppins"/>
              </w:rPr>
            </w:pPr>
          </w:p>
        </w:tc>
        <w:tc>
          <w:tcPr>
            <w:tcW w:w="3027" w:type="dxa"/>
            <w:shd w:val="clear" w:color="auto" w:fill="auto"/>
          </w:tcPr>
          <w:p w14:paraId="2D3AABCA" w14:textId="17C75764"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9.5 </w:t>
            </w:r>
            <w:r w:rsidRPr="000758FF">
              <w:rPr>
                <w:rFonts w:ascii="Poppins" w:hAnsi="Poppins" w:cs="Poppins"/>
              </w:rPr>
              <w:t>Review HR and recruitment procedures and policies to remove barriers to Aboriginal and Torres Strait Islander participation in our workplace. </w:t>
            </w:r>
          </w:p>
        </w:tc>
        <w:tc>
          <w:tcPr>
            <w:tcW w:w="3573" w:type="dxa"/>
            <w:shd w:val="clear" w:color="auto" w:fill="FFFFFF" w:themeFill="background1"/>
          </w:tcPr>
          <w:p w14:paraId="3EDD2831" w14:textId="07066DA5"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B233B9">
              <w:rPr>
                <w:rFonts w:ascii="Poppins" w:hAnsi="Poppins" w:cs="Poppins"/>
              </w:rPr>
              <w:t>Providers in place for when</w:t>
            </w:r>
            <w:r w:rsidR="00162FD8">
              <w:rPr>
                <w:rFonts w:ascii="Poppins" w:hAnsi="Poppins" w:cs="Poppins"/>
              </w:rPr>
              <w:t xml:space="preserve"> </w:t>
            </w:r>
            <w:r w:rsidRPr="00B233B9">
              <w:rPr>
                <w:rFonts w:ascii="Poppins" w:hAnsi="Poppins" w:cs="Poppins"/>
              </w:rPr>
              <w:t>required. </w:t>
            </w:r>
          </w:p>
        </w:tc>
        <w:tc>
          <w:tcPr>
            <w:tcW w:w="1080" w:type="dxa"/>
            <w:shd w:val="clear" w:color="auto" w:fill="FFE8BC" w:themeFill="accent3" w:themeFillTint="66"/>
          </w:tcPr>
          <w:p w14:paraId="411B5D62" w14:textId="12129E02" w:rsidR="00D720A9" w:rsidRPr="00B233B9" w:rsidRDefault="0103CD79"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D720A9" w:rsidRPr="006949AB" w14:paraId="258E1720" w14:textId="5762F94B"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79DB95AF" w14:textId="77777777" w:rsidR="00D720A9" w:rsidRPr="006949AB" w:rsidRDefault="00D720A9" w:rsidP="00D720A9">
            <w:pPr>
              <w:pStyle w:val="BodyText"/>
              <w:rPr>
                <w:rFonts w:ascii="Poppins" w:hAnsi="Poppins" w:cs="Poppins"/>
              </w:rPr>
            </w:pPr>
          </w:p>
        </w:tc>
        <w:tc>
          <w:tcPr>
            <w:tcW w:w="3027" w:type="dxa"/>
            <w:shd w:val="clear" w:color="auto" w:fill="auto"/>
          </w:tcPr>
          <w:p w14:paraId="780A4F16" w14:textId="281228FD"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9.6 </w:t>
            </w:r>
            <w:r w:rsidRPr="00BD7AAF">
              <w:rPr>
                <w:rFonts w:ascii="Poppins" w:hAnsi="Poppins" w:cs="Poppins"/>
              </w:rPr>
              <w:t>Attract,</w:t>
            </w:r>
            <w:r w:rsidR="00162FD8">
              <w:rPr>
                <w:rFonts w:ascii="Poppins" w:hAnsi="Poppins" w:cs="Poppins"/>
              </w:rPr>
              <w:t xml:space="preserve"> </w:t>
            </w:r>
            <w:r w:rsidRPr="00BD7AAF">
              <w:rPr>
                <w:rFonts w:ascii="Poppins" w:hAnsi="Poppins" w:cs="Poppins"/>
              </w:rPr>
              <w:t>recruit</w:t>
            </w:r>
            <w:r w:rsidR="00162FD8">
              <w:rPr>
                <w:rFonts w:ascii="Poppins" w:hAnsi="Poppins" w:cs="Poppins"/>
              </w:rPr>
              <w:t xml:space="preserve"> </w:t>
            </w:r>
            <w:r w:rsidRPr="00BD7AAF">
              <w:rPr>
                <w:rFonts w:ascii="Poppins" w:hAnsi="Poppins" w:cs="Poppins"/>
              </w:rPr>
              <w:t>and</w:t>
            </w:r>
            <w:r w:rsidR="00162FD8">
              <w:rPr>
                <w:rFonts w:ascii="Poppins" w:hAnsi="Poppins" w:cs="Poppins"/>
              </w:rPr>
              <w:t xml:space="preserve"> </w:t>
            </w:r>
            <w:r w:rsidRPr="00BD7AAF">
              <w:rPr>
                <w:rFonts w:ascii="Poppins" w:hAnsi="Poppins" w:cs="Poppins"/>
              </w:rPr>
              <w:t>retain</w:t>
            </w:r>
            <w:r w:rsidR="00162FD8">
              <w:rPr>
                <w:rFonts w:ascii="Poppins" w:hAnsi="Poppins" w:cs="Poppins"/>
              </w:rPr>
              <w:t xml:space="preserve"> </w:t>
            </w:r>
            <w:r w:rsidRPr="00BD7AAF">
              <w:rPr>
                <w:rFonts w:ascii="Poppins" w:hAnsi="Poppins" w:cs="Poppins"/>
              </w:rPr>
              <w:t>Aboriginal and Torres Strait Islander job seekers through inclusive recruitment practices aligned to the implementation of our Diversity and Inclusion (D&amp;I) Workplace Plan. </w:t>
            </w:r>
          </w:p>
        </w:tc>
        <w:tc>
          <w:tcPr>
            <w:tcW w:w="3573" w:type="dxa"/>
            <w:shd w:val="clear" w:color="auto" w:fill="FFFFFF" w:themeFill="background1"/>
          </w:tcPr>
          <w:p w14:paraId="3E88EA37" w14:textId="1E398816"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5815B0">
              <w:rPr>
                <w:rFonts w:ascii="Poppins" w:hAnsi="Poppins" w:cs="Poppins"/>
              </w:rPr>
              <w:t>Successful recruitment of</w:t>
            </w:r>
            <w:r w:rsidR="00162FD8">
              <w:rPr>
                <w:rFonts w:ascii="Poppins" w:hAnsi="Poppins" w:cs="Poppins"/>
              </w:rPr>
              <w:t xml:space="preserve"> </w:t>
            </w:r>
            <w:r w:rsidRPr="005815B0">
              <w:rPr>
                <w:rFonts w:ascii="Poppins" w:hAnsi="Poppins" w:cs="Poppins"/>
              </w:rPr>
              <w:t>two identified roles in 2025 and 2026</w:t>
            </w:r>
            <w:r>
              <w:rPr>
                <w:rFonts w:ascii="Poppins" w:hAnsi="Poppins" w:cs="Poppins"/>
              </w:rPr>
              <w:t>.</w:t>
            </w:r>
          </w:p>
        </w:tc>
        <w:tc>
          <w:tcPr>
            <w:tcW w:w="1080" w:type="dxa"/>
            <w:shd w:val="clear" w:color="auto" w:fill="FFE8BC" w:themeFill="accent3" w:themeFillTint="66"/>
          </w:tcPr>
          <w:p w14:paraId="0B028D23" w14:textId="6DA343D1" w:rsidR="00D720A9" w:rsidRPr="005815B0" w:rsidRDefault="41C64149"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D720A9" w:rsidRPr="006949AB" w14:paraId="7851D1CF" w14:textId="36F98AF2"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34F9B478" w14:textId="77777777" w:rsidR="00D720A9" w:rsidRPr="006949AB" w:rsidRDefault="00D720A9" w:rsidP="00D720A9">
            <w:pPr>
              <w:pStyle w:val="BodyText"/>
              <w:rPr>
                <w:rFonts w:ascii="Poppins" w:hAnsi="Poppins" w:cs="Poppins"/>
              </w:rPr>
            </w:pPr>
          </w:p>
        </w:tc>
        <w:tc>
          <w:tcPr>
            <w:tcW w:w="3027" w:type="dxa"/>
            <w:shd w:val="clear" w:color="auto" w:fill="auto"/>
          </w:tcPr>
          <w:p w14:paraId="6A8D3334" w14:textId="7723AC57"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9.7 </w:t>
            </w:r>
            <w:r w:rsidRPr="00CD4437">
              <w:rPr>
                <w:rFonts w:ascii="Poppins" w:hAnsi="Poppins" w:cs="Poppins"/>
              </w:rPr>
              <w:t>Develop a professional development strategy including leadership pathways for Aboriginal and Torres Strait Islander staff. </w:t>
            </w:r>
          </w:p>
        </w:tc>
        <w:tc>
          <w:tcPr>
            <w:tcW w:w="3573" w:type="dxa"/>
            <w:shd w:val="clear" w:color="auto" w:fill="FFFFFF" w:themeFill="background1"/>
          </w:tcPr>
          <w:p w14:paraId="45F237C1" w14:textId="408042BE" w:rsidR="00D720A9" w:rsidRPr="006949AB" w:rsidRDefault="2FA02B10"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7936E35C">
              <w:rPr>
                <w:rFonts w:ascii="Poppins" w:hAnsi="Poppins" w:cs="Poppins"/>
              </w:rPr>
              <w:t xml:space="preserve">New </w:t>
            </w:r>
            <w:r w:rsidR="6BCBCC6A" w:rsidRPr="7936E35C">
              <w:rPr>
                <w:rFonts w:ascii="Poppins" w:hAnsi="Poppins" w:cs="Poppins"/>
              </w:rPr>
              <w:t xml:space="preserve">leadership program </w:t>
            </w:r>
            <w:r w:rsidR="597E5D1F" w:rsidRPr="7936E35C">
              <w:rPr>
                <w:rFonts w:ascii="Poppins" w:hAnsi="Poppins" w:cs="Poppins"/>
              </w:rPr>
              <w:t xml:space="preserve">will commence </w:t>
            </w:r>
            <w:r w:rsidR="721EE85F" w:rsidRPr="7936E35C">
              <w:rPr>
                <w:rFonts w:ascii="Poppins" w:hAnsi="Poppins" w:cs="Poppins"/>
              </w:rPr>
              <w:t>w</w:t>
            </w:r>
            <w:r w:rsidR="6E8FB011" w:rsidRPr="7936E35C">
              <w:rPr>
                <w:rFonts w:ascii="Poppins" w:hAnsi="Poppins" w:cs="Poppins"/>
              </w:rPr>
              <w:t>ithin year 2 of th</w:t>
            </w:r>
            <w:r w:rsidR="4DAEEC18" w:rsidRPr="7936E35C">
              <w:rPr>
                <w:rFonts w:ascii="Poppins" w:hAnsi="Poppins" w:cs="Poppins"/>
              </w:rPr>
              <w:t>is Plan.</w:t>
            </w:r>
          </w:p>
        </w:tc>
        <w:tc>
          <w:tcPr>
            <w:tcW w:w="1080" w:type="dxa"/>
            <w:shd w:val="clear" w:color="auto" w:fill="D6EBC4" w:themeFill="accent1" w:themeFillTint="66"/>
          </w:tcPr>
          <w:p w14:paraId="1E542DB3" w14:textId="6F99C21F" w:rsidR="00D720A9" w:rsidRPr="0078353D" w:rsidRDefault="73D3EA9F"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r w:rsidR="00D720A9" w:rsidRPr="006949AB" w14:paraId="5C42FBB2" w14:textId="3CDCC181"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239547F1" w14:textId="77777777" w:rsidR="00D720A9" w:rsidRPr="006949AB" w:rsidRDefault="00D720A9" w:rsidP="00D720A9">
            <w:pPr>
              <w:pStyle w:val="BodyText"/>
              <w:rPr>
                <w:rFonts w:ascii="Poppins" w:hAnsi="Poppins" w:cs="Poppins"/>
              </w:rPr>
            </w:pPr>
          </w:p>
        </w:tc>
        <w:tc>
          <w:tcPr>
            <w:tcW w:w="3027" w:type="dxa"/>
            <w:shd w:val="clear" w:color="auto" w:fill="auto"/>
          </w:tcPr>
          <w:p w14:paraId="30F59BCE" w14:textId="01095EB1"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9.8 </w:t>
            </w:r>
            <w:r w:rsidRPr="00D4188A">
              <w:rPr>
                <w:rFonts w:ascii="Poppins" w:hAnsi="Poppins" w:cs="Poppins"/>
              </w:rPr>
              <w:t>Create an identified traineeship position and develop a plan to create more identified roles. </w:t>
            </w:r>
          </w:p>
        </w:tc>
        <w:tc>
          <w:tcPr>
            <w:tcW w:w="3573" w:type="dxa"/>
            <w:shd w:val="clear" w:color="auto" w:fill="FFFFFF" w:themeFill="background1"/>
          </w:tcPr>
          <w:p w14:paraId="5966EA9A" w14:textId="05FBEEF2"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E37C77">
              <w:rPr>
                <w:rFonts w:ascii="Poppins" w:hAnsi="Poppins" w:cs="Poppins"/>
              </w:rPr>
              <w:t>An Aboriginal and Torres Strait Islander</w:t>
            </w:r>
            <w:r w:rsidR="00113007">
              <w:rPr>
                <w:rFonts w:ascii="Poppins" w:hAnsi="Poppins" w:cs="Poppins"/>
              </w:rPr>
              <w:t xml:space="preserve"> </w:t>
            </w:r>
            <w:r w:rsidRPr="00E37C77">
              <w:rPr>
                <w:rFonts w:ascii="Poppins" w:hAnsi="Poppins" w:cs="Poppins"/>
              </w:rPr>
              <w:t>identified</w:t>
            </w:r>
            <w:r w:rsidR="00113007">
              <w:rPr>
                <w:rFonts w:ascii="Poppins" w:hAnsi="Poppins" w:cs="Poppins"/>
              </w:rPr>
              <w:t xml:space="preserve"> </w:t>
            </w:r>
            <w:r w:rsidRPr="00E37C77">
              <w:rPr>
                <w:rFonts w:ascii="Poppins" w:hAnsi="Poppins" w:cs="Poppins"/>
              </w:rPr>
              <w:t>traineeship position was created and promoted locally and</w:t>
            </w:r>
            <w:r w:rsidR="00113007">
              <w:rPr>
                <w:rFonts w:ascii="Poppins" w:hAnsi="Poppins" w:cs="Poppins"/>
              </w:rPr>
              <w:t xml:space="preserve"> </w:t>
            </w:r>
            <w:r w:rsidRPr="00E37C77">
              <w:rPr>
                <w:rFonts w:ascii="Poppins" w:hAnsi="Poppins" w:cs="Poppins"/>
              </w:rPr>
              <w:t>via</w:t>
            </w:r>
            <w:r w:rsidR="00113007">
              <w:rPr>
                <w:rFonts w:ascii="Poppins" w:hAnsi="Poppins" w:cs="Poppins"/>
              </w:rPr>
              <w:t xml:space="preserve"> </w:t>
            </w:r>
            <w:r w:rsidRPr="00E37C77">
              <w:rPr>
                <w:rFonts w:ascii="Poppins" w:hAnsi="Poppins" w:cs="Poppins"/>
              </w:rPr>
              <w:t>Aboriginal and Torres Strait Islander community organisations and the NIT job network as part of the Shire’s 2025 Traineeship Program.</w:t>
            </w:r>
            <w:r w:rsidR="00113007">
              <w:rPr>
                <w:rFonts w:ascii="Poppins" w:hAnsi="Poppins" w:cs="Poppins"/>
              </w:rPr>
              <w:t xml:space="preserve"> </w:t>
            </w:r>
            <w:r w:rsidRPr="00E37C77">
              <w:rPr>
                <w:rFonts w:ascii="Poppins" w:hAnsi="Poppins" w:cs="Poppins"/>
              </w:rPr>
              <w:t>The Shire successfully recruited to this role</w:t>
            </w:r>
            <w:r w:rsidR="00113007">
              <w:rPr>
                <w:rFonts w:ascii="Poppins" w:hAnsi="Poppins" w:cs="Poppins"/>
              </w:rPr>
              <w:t xml:space="preserve"> </w:t>
            </w:r>
            <w:r w:rsidRPr="00E37C77">
              <w:rPr>
                <w:rFonts w:ascii="Poppins" w:hAnsi="Poppins" w:cs="Poppins"/>
              </w:rPr>
              <w:t>and the Trainee was onboarded in February 2026.</w:t>
            </w:r>
            <w:r w:rsidR="00113007">
              <w:rPr>
                <w:rFonts w:ascii="Poppins" w:hAnsi="Poppins" w:cs="Poppins"/>
              </w:rPr>
              <w:t xml:space="preserve"> </w:t>
            </w:r>
          </w:p>
        </w:tc>
        <w:tc>
          <w:tcPr>
            <w:tcW w:w="1080" w:type="dxa"/>
            <w:shd w:val="clear" w:color="auto" w:fill="D6EBC4" w:themeFill="accent1" w:themeFillTint="66"/>
          </w:tcPr>
          <w:p w14:paraId="7BF84255" w14:textId="20E03571" w:rsidR="00D720A9" w:rsidRPr="00E37C77" w:rsidRDefault="1F3F2AF8"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D720A9" w:rsidRPr="006949AB" w14:paraId="04C96C90" w14:textId="76470CB6"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val="restart"/>
            <w:shd w:val="clear" w:color="auto" w:fill="auto"/>
            <w:hideMark/>
          </w:tcPr>
          <w:p w14:paraId="43F2D816" w14:textId="2DDEA065" w:rsidR="00D720A9" w:rsidRPr="006949AB" w:rsidRDefault="00D720A9" w:rsidP="00D720A9">
            <w:pPr>
              <w:pStyle w:val="BodyText"/>
              <w:rPr>
                <w:rFonts w:ascii="Poppins" w:hAnsi="Poppins" w:cs="Poppins"/>
              </w:rPr>
            </w:pPr>
            <w:r>
              <w:rPr>
                <w:rFonts w:ascii="Poppins" w:hAnsi="Poppins" w:cs="Poppins"/>
              </w:rPr>
              <w:t>10</w:t>
            </w:r>
            <w:r w:rsidRPr="006949AB">
              <w:rPr>
                <w:rFonts w:ascii="Poppins" w:hAnsi="Poppins" w:cs="Poppins"/>
              </w:rPr>
              <w:t xml:space="preserve"> </w:t>
            </w:r>
            <w:r w:rsidRPr="00B453B0">
              <w:rPr>
                <w:rFonts w:ascii="Poppins" w:hAnsi="Poppins" w:cs="Poppins"/>
              </w:rPr>
              <w:t>Increase Aboriginal and Torres Strait Islander supplier diversity to support improved economic and social outcomes.  </w:t>
            </w:r>
          </w:p>
        </w:tc>
        <w:tc>
          <w:tcPr>
            <w:tcW w:w="3027" w:type="dxa"/>
            <w:shd w:val="clear" w:color="auto" w:fill="auto"/>
            <w:hideMark/>
          </w:tcPr>
          <w:p w14:paraId="56588D7F" w14:textId="0E5B9BA2"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10</w:t>
            </w:r>
            <w:r w:rsidRPr="006949AB">
              <w:rPr>
                <w:rFonts w:ascii="Poppins" w:hAnsi="Poppins" w:cs="Poppins"/>
              </w:rPr>
              <w:t xml:space="preserve">.1 </w:t>
            </w:r>
            <w:r w:rsidRPr="00276602">
              <w:rPr>
                <w:rFonts w:ascii="Poppins" w:hAnsi="Poppins" w:cs="Poppins"/>
              </w:rPr>
              <w:t>Develop and implement an Aboriginal and Torres Strait Islander procurement strategy. </w:t>
            </w:r>
          </w:p>
        </w:tc>
        <w:tc>
          <w:tcPr>
            <w:tcW w:w="3573" w:type="dxa"/>
            <w:shd w:val="clear" w:color="auto" w:fill="FFFFFF" w:themeFill="background1"/>
            <w:hideMark/>
          </w:tcPr>
          <w:p w14:paraId="6EC7E14A" w14:textId="47E7CCAA" w:rsidR="00D720A9" w:rsidRPr="006949AB" w:rsidRDefault="6C0FD41A" w:rsidP="139CF35B">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139CF35B">
              <w:rPr>
                <w:rFonts w:ascii="Poppins" w:hAnsi="Poppins" w:cs="Poppins"/>
              </w:rPr>
              <w:t>Initial discussions commenced.</w:t>
            </w:r>
            <w:r w:rsidR="00113007">
              <w:rPr>
                <w:rFonts w:ascii="Poppins" w:hAnsi="Poppins" w:cs="Poppins"/>
              </w:rPr>
              <w:t xml:space="preserve"> </w:t>
            </w:r>
            <w:r w:rsidR="25F4F0ED" w:rsidRPr="139CF35B">
              <w:rPr>
                <w:rFonts w:ascii="Poppins" w:hAnsi="Poppins" w:cs="Poppins"/>
              </w:rPr>
              <w:t xml:space="preserve">A </w:t>
            </w:r>
            <w:proofErr w:type="spellStart"/>
            <w:r w:rsidRPr="139CF35B">
              <w:rPr>
                <w:rFonts w:ascii="Poppins" w:hAnsi="Poppins" w:cs="Poppins"/>
              </w:rPr>
              <w:t>Kinaway</w:t>
            </w:r>
            <w:proofErr w:type="spellEnd"/>
            <w:r w:rsidR="00113007">
              <w:rPr>
                <w:rFonts w:ascii="Poppins" w:hAnsi="Poppins" w:cs="Poppins"/>
              </w:rPr>
              <w:t xml:space="preserve"> </w:t>
            </w:r>
            <w:r w:rsidR="4A5AF9BA" w:rsidRPr="139CF35B">
              <w:rPr>
                <w:rFonts w:ascii="Poppins" w:hAnsi="Poppins" w:cs="Poppins"/>
              </w:rPr>
              <w:t>12</w:t>
            </w:r>
            <w:r w:rsidR="00113007">
              <w:rPr>
                <w:rFonts w:ascii="Poppins" w:hAnsi="Poppins" w:cs="Poppins"/>
              </w:rPr>
              <w:t>-</w:t>
            </w:r>
            <w:r w:rsidR="4A5AF9BA" w:rsidRPr="139CF35B">
              <w:rPr>
                <w:rFonts w:ascii="Poppins" w:hAnsi="Poppins" w:cs="Poppins"/>
              </w:rPr>
              <w:t>month</w:t>
            </w:r>
            <w:r w:rsidRPr="139CF35B">
              <w:rPr>
                <w:rFonts w:ascii="Poppins" w:hAnsi="Poppins" w:cs="Poppins"/>
              </w:rPr>
              <w:t xml:space="preserve"> membership approved with invoice paid 10th June 2026.</w:t>
            </w:r>
            <w:r w:rsidR="00113007">
              <w:rPr>
                <w:rFonts w:ascii="Poppins" w:hAnsi="Poppins" w:cs="Poppins"/>
              </w:rPr>
              <w:t xml:space="preserve"> </w:t>
            </w:r>
            <w:r w:rsidR="7055933C" w:rsidRPr="139CF35B">
              <w:rPr>
                <w:rFonts w:ascii="Poppins" w:hAnsi="Poppins" w:cs="Poppins"/>
              </w:rPr>
              <w:t>The</w:t>
            </w:r>
            <w:r w:rsidR="00113007">
              <w:rPr>
                <w:rFonts w:ascii="Poppins" w:hAnsi="Poppins" w:cs="Poppins"/>
              </w:rPr>
              <w:t xml:space="preserve"> </w:t>
            </w:r>
            <w:proofErr w:type="spellStart"/>
            <w:r w:rsidR="7055933C" w:rsidRPr="139CF35B">
              <w:rPr>
                <w:rFonts w:ascii="Poppins" w:hAnsi="Poppins" w:cs="Poppins"/>
              </w:rPr>
              <w:t>Kinaway</w:t>
            </w:r>
            <w:proofErr w:type="spellEnd"/>
            <w:r w:rsidR="00113007">
              <w:rPr>
                <w:rFonts w:ascii="Poppins" w:hAnsi="Poppins" w:cs="Poppins"/>
              </w:rPr>
              <w:t xml:space="preserve"> </w:t>
            </w:r>
            <w:r w:rsidR="7055933C" w:rsidRPr="139CF35B">
              <w:rPr>
                <w:rFonts w:ascii="Poppins" w:hAnsi="Poppins" w:cs="Poppins"/>
              </w:rPr>
              <w:t>membership allows</w:t>
            </w:r>
            <w:r w:rsidR="00113007">
              <w:rPr>
                <w:rFonts w:ascii="Poppins" w:hAnsi="Poppins" w:cs="Poppins"/>
              </w:rPr>
              <w:t xml:space="preserve"> </w:t>
            </w:r>
            <w:r w:rsidR="7055933C" w:rsidRPr="139CF35B">
              <w:rPr>
                <w:rFonts w:ascii="Poppins" w:hAnsi="Poppins" w:cs="Poppins"/>
              </w:rPr>
              <w:t>the Procurement team to</w:t>
            </w:r>
            <w:r w:rsidR="00113007">
              <w:rPr>
                <w:rFonts w:ascii="Poppins" w:hAnsi="Poppins" w:cs="Poppins"/>
              </w:rPr>
              <w:t xml:space="preserve"> </w:t>
            </w:r>
            <w:r w:rsidR="7055933C" w:rsidRPr="139CF35B">
              <w:rPr>
                <w:rFonts w:ascii="Poppins" w:hAnsi="Poppins" w:cs="Poppins"/>
              </w:rPr>
              <w:t>identify</w:t>
            </w:r>
            <w:r w:rsidR="00113007">
              <w:rPr>
                <w:rFonts w:ascii="Poppins" w:hAnsi="Poppins" w:cs="Poppins"/>
              </w:rPr>
              <w:t xml:space="preserve"> </w:t>
            </w:r>
            <w:r w:rsidR="7055933C" w:rsidRPr="139CF35B">
              <w:rPr>
                <w:rFonts w:ascii="Poppins" w:hAnsi="Poppins" w:cs="Poppins"/>
              </w:rPr>
              <w:t>and develop commercial relationships with</w:t>
            </w:r>
            <w:r w:rsidR="00113007">
              <w:rPr>
                <w:rFonts w:ascii="Poppins" w:hAnsi="Poppins" w:cs="Poppins"/>
              </w:rPr>
              <w:t xml:space="preserve"> </w:t>
            </w:r>
            <w:r w:rsidR="7055933C" w:rsidRPr="139CF35B">
              <w:rPr>
                <w:rFonts w:ascii="Poppins" w:hAnsi="Poppins" w:cs="Poppins"/>
              </w:rPr>
              <w:t>Aboriginal and/or Torres Strait Islander businesses</w:t>
            </w:r>
            <w:r w:rsidR="00113007">
              <w:rPr>
                <w:rFonts w:ascii="Poppins" w:hAnsi="Poppins" w:cs="Poppins"/>
              </w:rPr>
              <w:t xml:space="preserve"> </w:t>
            </w:r>
            <w:r w:rsidR="7055933C" w:rsidRPr="139CF35B">
              <w:rPr>
                <w:rFonts w:ascii="Poppins" w:hAnsi="Poppins" w:cs="Poppins"/>
              </w:rPr>
              <w:t>outside of the Shire’s relationships that are already developed. </w:t>
            </w:r>
          </w:p>
          <w:p w14:paraId="10E38DF3" w14:textId="4C2E0D15"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p>
        </w:tc>
        <w:tc>
          <w:tcPr>
            <w:tcW w:w="1080" w:type="dxa"/>
            <w:shd w:val="clear" w:color="auto" w:fill="FFE8BC" w:themeFill="accent3" w:themeFillTint="66"/>
          </w:tcPr>
          <w:p w14:paraId="1EBFA94A" w14:textId="1932D741" w:rsidR="00D720A9" w:rsidRPr="00C13E98" w:rsidRDefault="131DE393"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D720A9" w:rsidRPr="006949AB" w14:paraId="6207B411" w14:textId="7B0A9A0E"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1E3C1158" w14:textId="77777777" w:rsidR="00D720A9" w:rsidRDefault="00D720A9" w:rsidP="00D720A9">
            <w:pPr>
              <w:pStyle w:val="BodyText"/>
              <w:rPr>
                <w:rFonts w:ascii="Poppins" w:hAnsi="Poppins" w:cs="Poppins"/>
              </w:rPr>
            </w:pPr>
          </w:p>
        </w:tc>
        <w:tc>
          <w:tcPr>
            <w:tcW w:w="3027" w:type="dxa"/>
            <w:shd w:val="clear" w:color="auto" w:fill="auto"/>
          </w:tcPr>
          <w:p w14:paraId="01722D72" w14:textId="21222E3A" w:rsidR="00D720A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10.2 </w:t>
            </w:r>
            <w:r w:rsidRPr="003E0C51">
              <w:rPr>
                <w:rFonts w:ascii="Poppins" w:hAnsi="Poppins" w:cs="Poppins"/>
              </w:rPr>
              <w:t>Investigate Supply Nation membership. </w:t>
            </w:r>
          </w:p>
        </w:tc>
        <w:tc>
          <w:tcPr>
            <w:tcW w:w="3573" w:type="dxa"/>
            <w:shd w:val="clear" w:color="auto" w:fill="FFFFFF" w:themeFill="background1"/>
          </w:tcPr>
          <w:p w14:paraId="1446250A" w14:textId="1E28BE3D" w:rsidR="00D720A9" w:rsidRPr="00C13E98" w:rsidRDefault="6C0FD41A" w:rsidP="00D720A9">
            <w:pPr>
              <w:pStyle w:val="BodyText"/>
              <w:cnfStyle w:val="000000000000" w:firstRow="0" w:lastRow="0" w:firstColumn="0" w:lastColumn="0" w:oddVBand="0" w:evenVBand="0" w:oddHBand="0" w:evenHBand="0" w:firstRowFirstColumn="0" w:firstRowLastColumn="0" w:lastRowFirstColumn="0" w:lastRowLastColumn="0"/>
            </w:pPr>
            <w:r w:rsidRPr="139CF35B">
              <w:rPr>
                <w:rFonts w:ascii="Poppins" w:hAnsi="Poppins" w:cs="Poppins"/>
              </w:rPr>
              <w:t>An assessment was undertaken comparing Supply Nation and</w:t>
            </w:r>
            <w:r w:rsidR="00071174">
              <w:rPr>
                <w:rFonts w:ascii="Poppins" w:hAnsi="Poppins" w:cs="Poppins"/>
              </w:rPr>
              <w:t xml:space="preserve"> </w:t>
            </w:r>
            <w:proofErr w:type="spellStart"/>
            <w:r w:rsidRPr="139CF35B">
              <w:rPr>
                <w:rFonts w:ascii="Poppins" w:hAnsi="Poppins" w:cs="Poppins"/>
              </w:rPr>
              <w:t>Kinaway</w:t>
            </w:r>
            <w:proofErr w:type="spellEnd"/>
            <w:r w:rsidR="00071174">
              <w:rPr>
                <w:rFonts w:ascii="Poppins" w:hAnsi="Poppins" w:cs="Poppins"/>
              </w:rPr>
              <w:t xml:space="preserve"> </w:t>
            </w:r>
            <w:r w:rsidRPr="139CF35B">
              <w:rPr>
                <w:rFonts w:ascii="Poppins" w:hAnsi="Poppins" w:cs="Poppins"/>
              </w:rPr>
              <w:t>membership options to</w:t>
            </w:r>
            <w:r w:rsidR="0037590F">
              <w:rPr>
                <w:rFonts w:ascii="Poppins" w:hAnsi="Poppins" w:cs="Poppins"/>
              </w:rPr>
              <w:t xml:space="preserve"> </w:t>
            </w:r>
            <w:r w:rsidRPr="139CF35B">
              <w:rPr>
                <w:rFonts w:ascii="Poppins" w:hAnsi="Poppins" w:cs="Poppins"/>
              </w:rPr>
              <w:t>determine</w:t>
            </w:r>
            <w:r w:rsidR="0037590F">
              <w:rPr>
                <w:rFonts w:ascii="Poppins" w:hAnsi="Poppins" w:cs="Poppins"/>
              </w:rPr>
              <w:t xml:space="preserve"> </w:t>
            </w:r>
            <w:r w:rsidRPr="139CF35B">
              <w:rPr>
                <w:rFonts w:ascii="Poppins" w:hAnsi="Poppins" w:cs="Poppins"/>
              </w:rPr>
              <w:t xml:space="preserve">the most suitable approach for supporting the Shire’s procurement and engagement with Aboriginal-owned businesses. </w:t>
            </w:r>
            <w:r w:rsidRPr="139CF35B">
              <w:rPr>
                <w:rFonts w:ascii="Poppins" w:hAnsi="Poppins" w:cs="Poppins"/>
              </w:rPr>
              <w:lastRenderedPageBreak/>
              <w:t>Following a review of the benefits, networks and opportunities offered by each organisation,</w:t>
            </w:r>
            <w:r w:rsidR="0037590F">
              <w:rPr>
                <w:rFonts w:ascii="Poppins" w:hAnsi="Poppins" w:cs="Poppins"/>
              </w:rPr>
              <w:t xml:space="preserve"> </w:t>
            </w:r>
            <w:proofErr w:type="spellStart"/>
            <w:r w:rsidRPr="139CF35B">
              <w:rPr>
                <w:rFonts w:ascii="Poppins" w:hAnsi="Poppins" w:cs="Poppins"/>
              </w:rPr>
              <w:t>Kinaway</w:t>
            </w:r>
            <w:proofErr w:type="spellEnd"/>
            <w:r w:rsidR="0037590F">
              <w:rPr>
                <w:rFonts w:ascii="Poppins" w:hAnsi="Poppins" w:cs="Poppins"/>
              </w:rPr>
              <w:t xml:space="preserve"> </w:t>
            </w:r>
            <w:r w:rsidRPr="139CF35B">
              <w:rPr>
                <w:rFonts w:ascii="Poppins" w:hAnsi="Poppins" w:cs="Poppins"/>
              </w:rPr>
              <w:t>was identified as the preferred option due to its strong Victorian focus and alignment with the Shire’s</w:t>
            </w:r>
            <w:r w:rsidR="0037590F">
              <w:rPr>
                <w:rFonts w:ascii="Poppins" w:hAnsi="Poppins" w:cs="Poppins"/>
              </w:rPr>
              <w:t xml:space="preserve"> </w:t>
            </w:r>
            <w:r w:rsidRPr="139CF35B">
              <w:rPr>
                <w:rFonts w:ascii="Poppins" w:hAnsi="Poppins" w:cs="Poppins"/>
              </w:rPr>
              <w:t xml:space="preserve">objectives. </w:t>
            </w:r>
          </w:p>
        </w:tc>
        <w:tc>
          <w:tcPr>
            <w:tcW w:w="1080" w:type="dxa"/>
            <w:shd w:val="clear" w:color="auto" w:fill="D6EBC4" w:themeFill="accent1" w:themeFillTint="66"/>
          </w:tcPr>
          <w:p w14:paraId="60C50EF5" w14:textId="22B894B8" w:rsidR="00D720A9" w:rsidRPr="001830CF" w:rsidRDefault="6A53E77C"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lastRenderedPageBreak/>
              <w:t>Complete</w:t>
            </w:r>
          </w:p>
        </w:tc>
      </w:tr>
      <w:tr w:rsidR="00D720A9" w:rsidRPr="006949AB" w14:paraId="4FED0AC0" w14:textId="12719DFD"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6BCB7956" w14:textId="77777777" w:rsidR="00D720A9" w:rsidRDefault="00D720A9" w:rsidP="00D720A9">
            <w:pPr>
              <w:pStyle w:val="BodyText"/>
              <w:rPr>
                <w:rFonts w:ascii="Poppins" w:hAnsi="Poppins" w:cs="Poppins"/>
              </w:rPr>
            </w:pPr>
          </w:p>
        </w:tc>
        <w:tc>
          <w:tcPr>
            <w:tcW w:w="3027" w:type="dxa"/>
            <w:shd w:val="clear" w:color="auto" w:fill="auto"/>
          </w:tcPr>
          <w:p w14:paraId="77FABB5F" w14:textId="4F6D1859" w:rsidR="00D720A9"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10.3 </w:t>
            </w:r>
            <w:r w:rsidRPr="008E5BBA">
              <w:rPr>
                <w:rFonts w:ascii="Poppins" w:hAnsi="Poppins" w:cs="Poppins"/>
              </w:rPr>
              <w:t>Develop and communicate opportunities for procurement of goods and services from Aboriginal and Torres Strait Islander businesses to staff. </w:t>
            </w:r>
          </w:p>
        </w:tc>
        <w:tc>
          <w:tcPr>
            <w:tcW w:w="3573" w:type="dxa"/>
            <w:shd w:val="clear" w:color="auto" w:fill="FFFFFF" w:themeFill="background1"/>
          </w:tcPr>
          <w:p w14:paraId="68F31156" w14:textId="5BB785B5" w:rsidR="00D720A9" w:rsidRPr="00C13E98"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331FA2">
              <w:rPr>
                <w:rFonts w:ascii="Poppins" w:hAnsi="Poppins" w:cs="Poppins"/>
              </w:rPr>
              <w:t>Due to be actioned in year 2. </w:t>
            </w:r>
          </w:p>
        </w:tc>
        <w:tc>
          <w:tcPr>
            <w:tcW w:w="1080" w:type="dxa"/>
            <w:shd w:val="clear" w:color="auto" w:fill="FFE8BC" w:themeFill="accent3" w:themeFillTint="66"/>
          </w:tcPr>
          <w:p w14:paraId="2BC69C32" w14:textId="61807BCB" w:rsidR="00D720A9" w:rsidRPr="00331FA2" w:rsidRDefault="61E2D2C8"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D720A9" w:rsidRPr="006949AB" w14:paraId="368A1E75" w14:textId="6A1A3808"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2F062B74" w14:textId="77777777" w:rsidR="00D720A9" w:rsidRDefault="00D720A9" w:rsidP="00D720A9">
            <w:pPr>
              <w:pStyle w:val="BodyText"/>
              <w:rPr>
                <w:rFonts w:ascii="Poppins" w:hAnsi="Poppins" w:cs="Poppins"/>
              </w:rPr>
            </w:pPr>
          </w:p>
        </w:tc>
        <w:tc>
          <w:tcPr>
            <w:tcW w:w="3027" w:type="dxa"/>
            <w:shd w:val="clear" w:color="auto" w:fill="auto"/>
          </w:tcPr>
          <w:p w14:paraId="1ABDC002" w14:textId="354385B8" w:rsidR="00D720A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10.4 </w:t>
            </w:r>
            <w:r w:rsidRPr="008D52DA">
              <w:rPr>
                <w:rFonts w:ascii="Poppins" w:hAnsi="Poppins" w:cs="Poppins"/>
              </w:rPr>
              <w:t>Review and update procurement practices to remove barriers to</w:t>
            </w:r>
            <w:r w:rsidR="0037590F">
              <w:rPr>
                <w:rFonts w:ascii="Poppins" w:hAnsi="Poppins" w:cs="Poppins"/>
              </w:rPr>
              <w:t xml:space="preserve"> </w:t>
            </w:r>
            <w:r w:rsidRPr="008D52DA">
              <w:rPr>
                <w:rFonts w:ascii="Poppins" w:hAnsi="Poppins" w:cs="Poppins"/>
              </w:rPr>
              <w:t>procuring</w:t>
            </w:r>
            <w:r w:rsidR="0037590F">
              <w:rPr>
                <w:rFonts w:ascii="Poppins" w:hAnsi="Poppins" w:cs="Poppins"/>
              </w:rPr>
              <w:t xml:space="preserve"> </w:t>
            </w:r>
            <w:r w:rsidRPr="008D52DA">
              <w:rPr>
                <w:rFonts w:ascii="Poppins" w:hAnsi="Poppins" w:cs="Poppins"/>
              </w:rPr>
              <w:t>goods and</w:t>
            </w:r>
            <w:r w:rsidR="0037590F">
              <w:rPr>
                <w:rFonts w:ascii="Poppins" w:hAnsi="Poppins" w:cs="Poppins"/>
              </w:rPr>
              <w:t xml:space="preserve"> </w:t>
            </w:r>
            <w:r w:rsidRPr="008D52DA">
              <w:rPr>
                <w:rFonts w:ascii="Poppins" w:hAnsi="Poppins" w:cs="Poppins"/>
              </w:rPr>
              <w:t>services from Aboriginal and Torres Strait Islander businesses. </w:t>
            </w:r>
          </w:p>
        </w:tc>
        <w:tc>
          <w:tcPr>
            <w:tcW w:w="3573" w:type="dxa"/>
            <w:shd w:val="clear" w:color="auto" w:fill="FFFFFF" w:themeFill="background1"/>
          </w:tcPr>
          <w:p w14:paraId="7C7BDAE9" w14:textId="6601CBC6" w:rsidR="00D720A9" w:rsidRPr="00C13E98"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D05C55">
              <w:rPr>
                <w:rFonts w:ascii="Poppins" w:hAnsi="Poppins" w:cs="Poppins"/>
              </w:rPr>
              <w:t>Initial discussions have</w:t>
            </w:r>
            <w:r w:rsidR="0037590F">
              <w:rPr>
                <w:rFonts w:ascii="Poppins" w:hAnsi="Poppins" w:cs="Poppins"/>
              </w:rPr>
              <w:t xml:space="preserve"> </w:t>
            </w:r>
            <w:r w:rsidRPr="00D05C55">
              <w:rPr>
                <w:rFonts w:ascii="Poppins" w:hAnsi="Poppins" w:cs="Poppins"/>
              </w:rPr>
              <w:t>commenced</w:t>
            </w:r>
            <w:r w:rsidR="0037590F">
              <w:rPr>
                <w:rFonts w:ascii="Poppins" w:hAnsi="Poppins" w:cs="Poppins"/>
              </w:rPr>
              <w:t xml:space="preserve"> </w:t>
            </w:r>
            <w:r w:rsidRPr="00D05C55">
              <w:rPr>
                <w:rFonts w:ascii="Poppins" w:hAnsi="Poppins" w:cs="Poppins"/>
              </w:rPr>
              <w:t>with</w:t>
            </w:r>
            <w:r w:rsidR="0037590F">
              <w:rPr>
                <w:rFonts w:ascii="Poppins" w:hAnsi="Poppins" w:cs="Poppins"/>
              </w:rPr>
              <w:t xml:space="preserve"> </w:t>
            </w:r>
            <w:proofErr w:type="spellStart"/>
            <w:r w:rsidRPr="00D05C55">
              <w:rPr>
                <w:rFonts w:ascii="Poppins" w:hAnsi="Poppins" w:cs="Poppins"/>
              </w:rPr>
              <w:t>Kinaway</w:t>
            </w:r>
            <w:proofErr w:type="spellEnd"/>
            <w:r w:rsidR="0037590F">
              <w:rPr>
                <w:rFonts w:ascii="Poppins" w:hAnsi="Poppins" w:cs="Poppins"/>
              </w:rPr>
              <w:t xml:space="preserve"> </w:t>
            </w:r>
            <w:r w:rsidRPr="00D05C55">
              <w:rPr>
                <w:rFonts w:ascii="Poppins" w:hAnsi="Poppins" w:cs="Poppins"/>
              </w:rPr>
              <w:t>to explore opportunities for strengthening engagement with First Nations businesses and suppliers. As a demonstration of the Shire’s</w:t>
            </w:r>
            <w:r w:rsidR="0037590F">
              <w:rPr>
                <w:rFonts w:ascii="Poppins" w:hAnsi="Poppins" w:cs="Poppins"/>
              </w:rPr>
              <w:t xml:space="preserve"> </w:t>
            </w:r>
            <w:r w:rsidRPr="00D05C55">
              <w:rPr>
                <w:rFonts w:ascii="Poppins" w:hAnsi="Poppins" w:cs="Poppins"/>
              </w:rPr>
              <w:t>commitment to increasing Aboriginal business participation and fostering meaningful economic partnerships, a 12</w:t>
            </w:r>
            <w:r>
              <w:noBreakHyphen/>
            </w:r>
            <w:r w:rsidRPr="00D05C55">
              <w:rPr>
                <w:rFonts w:ascii="Poppins" w:hAnsi="Poppins" w:cs="Poppins"/>
              </w:rPr>
              <w:t>month</w:t>
            </w:r>
            <w:r w:rsidR="0037590F">
              <w:rPr>
                <w:rFonts w:ascii="Poppins" w:hAnsi="Poppins" w:cs="Poppins"/>
              </w:rPr>
              <w:t xml:space="preserve"> </w:t>
            </w:r>
            <w:proofErr w:type="spellStart"/>
            <w:r w:rsidRPr="00D05C55">
              <w:rPr>
                <w:rFonts w:ascii="Poppins" w:hAnsi="Poppins" w:cs="Poppins"/>
              </w:rPr>
              <w:t>Kinaway</w:t>
            </w:r>
            <w:proofErr w:type="spellEnd"/>
            <w:r w:rsidR="0037590F">
              <w:rPr>
                <w:rFonts w:ascii="Poppins" w:hAnsi="Poppins" w:cs="Poppins"/>
              </w:rPr>
              <w:t xml:space="preserve"> </w:t>
            </w:r>
            <w:r w:rsidRPr="00D05C55">
              <w:rPr>
                <w:rFonts w:ascii="Poppins" w:hAnsi="Poppins" w:cs="Poppins"/>
              </w:rPr>
              <w:t>membership was approved, with payment of the membership invoice completed on 10 June 2026. Membership will provide access to</w:t>
            </w:r>
            <w:r w:rsidR="0037590F">
              <w:rPr>
                <w:rFonts w:ascii="Poppins" w:hAnsi="Poppins" w:cs="Poppins"/>
              </w:rPr>
              <w:t xml:space="preserve"> </w:t>
            </w:r>
            <w:proofErr w:type="spellStart"/>
            <w:r w:rsidRPr="00D05C55">
              <w:rPr>
                <w:rFonts w:ascii="Poppins" w:hAnsi="Poppins" w:cs="Poppins"/>
              </w:rPr>
              <w:t>Kinaway’s</w:t>
            </w:r>
            <w:proofErr w:type="spellEnd"/>
            <w:r w:rsidR="0037590F">
              <w:rPr>
                <w:rFonts w:ascii="Poppins" w:hAnsi="Poppins" w:cs="Poppins"/>
              </w:rPr>
              <w:t xml:space="preserve"> </w:t>
            </w:r>
            <w:r w:rsidRPr="00D05C55">
              <w:rPr>
                <w:rFonts w:ascii="Poppins" w:hAnsi="Poppins" w:cs="Poppins"/>
              </w:rPr>
              <w:t>network,</w:t>
            </w:r>
            <w:r w:rsidR="0037590F">
              <w:rPr>
                <w:rFonts w:ascii="Poppins" w:hAnsi="Poppins" w:cs="Poppins"/>
              </w:rPr>
              <w:t xml:space="preserve"> </w:t>
            </w:r>
            <w:r w:rsidRPr="00D05C55">
              <w:rPr>
                <w:rFonts w:ascii="Poppins" w:hAnsi="Poppins" w:cs="Poppins"/>
              </w:rPr>
              <w:t>resources</w:t>
            </w:r>
            <w:r w:rsidR="0037590F">
              <w:rPr>
                <w:rFonts w:ascii="Poppins" w:hAnsi="Poppins" w:cs="Poppins"/>
              </w:rPr>
              <w:t xml:space="preserve"> </w:t>
            </w:r>
            <w:r w:rsidRPr="00D05C55">
              <w:rPr>
                <w:rFonts w:ascii="Poppins" w:hAnsi="Poppins" w:cs="Poppins"/>
              </w:rPr>
              <w:t>and business directory, supporting the Shire to</w:t>
            </w:r>
            <w:r w:rsidR="0037590F">
              <w:rPr>
                <w:rFonts w:ascii="Poppins" w:hAnsi="Poppins" w:cs="Poppins"/>
              </w:rPr>
              <w:t xml:space="preserve"> </w:t>
            </w:r>
            <w:r w:rsidRPr="00D05C55">
              <w:rPr>
                <w:rFonts w:ascii="Poppins" w:hAnsi="Poppins" w:cs="Poppins"/>
              </w:rPr>
              <w:t>identify</w:t>
            </w:r>
            <w:r w:rsidR="0037590F">
              <w:rPr>
                <w:rFonts w:ascii="Poppins" w:hAnsi="Poppins" w:cs="Poppins"/>
              </w:rPr>
              <w:t xml:space="preserve"> </w:t>
            </w:r>
            <w:r w:rsidRPr="00D05C55">
              <w:rPr>
                <w:rFonts w:ascii="Poppins" w:hAnsi="Poppins" w:cs="Poppins"/>
              </w:rPr>
              <w:t>and engage Aboriginal-owned businesses and build its cultural procurement capability.</w:t>
            </w:r>
          </w:p>
        </w:tc>
        <w:tc>
          <w:tcPr>
            <w:tcW w:w="1080" w:type="dxa"/>
            <w:shd w:val="clear" w:color="auto" w:fill="FFE8BC" w:themeFill="accent3" w:themeFillTint="66"/>
          </w:tcPr>
          <w:p w14:paraId="0AE47036" w14:textId="36108DA5" w:rsidR="00D720A9" w:rsidRPr="00D05C55" w:rsidRDefault="6EAB2B5A"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D720A9" w:rsidRPr="006949AB" w14:paraId="48FFDA18" w14:textId="71615A80"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03F458D5" w14:textId="77777777" w:rsidR="00D720A9" w:rsidRDefault="00D720A9" w:rsidP="00D720A9">
            <w:pPr>
              <w:pStyle w:val="BodyText"/>
              <w:rPr>
                <w:rFonts w:ascii="Poppins" w:hAnsi="Poppins" w:cs="Poppins"/>
              </w:rPr>
            </w:pPr>
          </w:p>
        </w:tc>
        <w:tc>
          <w:tcPr>
            <w:tcW w:w="3027" w:type="dxa"/>
            <w:shd w:val="clear" w:color="auto" w:fill="auto"/>
          </w:tcPr>
          <w:p w14:paraId="50008638" w14:textId="5BE3463C" w:rsidR="00D720A9"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10.5 </w:t>
            </w:r>
            <w:r w:rsidRPr="001F4415">
              <w:rPr>
                <w:rFonts w:ascii="Poppins" w:hAnsi="Poppins" w:cs="Poppins"/>
              </w:rPr>
              <w:t>Develop commercial relationships with Aboriginal and/or Torres Strait Islander businesses. </w:t>
            </w:r>
          </w:p>
        </w:tc>
        <w:tc>
          <w:tcPr>
            <w:tcW w:w="3573" w:type="dxa"/>
            <w:shd w:val="clear" w:color="auto" w:fill="FFFFFF" w:themeFill="background1"/>
          </w:tcPr>
          <w:p w14:paraId="3F29FDF1" w14:textId="2868B421" w:rsidR="00D720A9" w:rsidRPr="00C13E98"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BB4109">
              <w:rPr>
                <w:rFonts w:ascii="Poppins" w:hAnsi="Poppins" w:cs="Poppins"/>
              </w:rPr>
              <w:t>The</w:t>
            </w:r>
            <w:r w:rsidR="00725977">
              <w:rPr>
                <w:rFonts w:ascii="Poppins" w:hAnsi="Poppins" w:cs="Poppins"/>
              </w:rPr>
              <w:t xml:space="preserve"> </w:t>
            </w:r>
            <w:proofErr w:type="spellStart"/>
            <w:r w:rsidRPr="00BB4109">
              <w:rPr>
                <w:rFonts w:ascii="Poppins" w:hAnsi="Poppins" w:cs="Poppins"/>
              </w:rPr>
              <w:t>Kinaway</w:t>
            </w:r>
            <w:proofErr w:type="spellEnd"/>
            <w:r w:rsidR="00725977">
              <w:rPr>
                <w:rFonts w:ascii="Poppins" w:hAnsi="Poppins" w:cs="Poppins"/>
              </w:rPr>
              <w:t xml:space="preserve"> </w:t>
            </w:r>
            <w:r w:rsidRPr="00BB4109">
              <w:rPr>
                <w:rFonts w:ascii="Poppins" w:hAnsi="Poppins" w:cs="Poppins"/>
              </w:rPr>
              <w:t>membership allows</w:t>
            </w:r>
            <w:r w:rsidR="00725977">
              <w:rPr>
                <w:rFonts w:ascii="Poppins" w:hAnsi="Poppins" w:cs="Poppins"/>
              </w:rPr>
              <w:t xml:space="preserve"> </w:t>
            </w:r>
            <w:r w:rsidRPr="00BB4109">
              <w:rPr>
                <w:rFonts w:ascii="Poppins" w:hAnsi="Poppins" w:cs="Poppins"/>
              </w:rPr>
              <w:t>the Procurement team to</w:t>
            </w:r>
            <w:r w:rsidR="00725977">
              <w:rPr>
                <w:rFonts w:ascii="Poppins" w:hAnsi="Poppins" w:cs="Poppins"/>
              </w:rPr>
              <w:t xml:space="preserve"> </w:t>
            </w:r>
            <w:r w:rsidRPr="00BB4109">
              <w:rPr>
                <w:rFonts w:ascii="Poppins" w:hAnsi="Poppins" w:cs="Poppins"/>
              </w:rPr>
              <w:t>identify</w:t>
            </w:r>
            <w:r w:rsidR="00725977">
              <w:rPr>
                <w:rFonts w:ascii="Poppins" w:hAnsi="Poppins" w:cs="Poppins"/>
              </w:rPr>
              <w:t xml:space="preserve"> </w:t>
            </w:r>
            <w:r w:rsidRPr="00BB4109">
              <w:rPr>
                <w:rFonts w:ascii="Poppins" w:hAnsi="Poppins" w:cs="Poppins"/>
              </w:rPr>
              <w:t>and develop commercial relationships with</w:t>
            </w:r>
            <w:r w:rsidR="00725977">
              <w:rPr>
                <w:rFonts w:ascii="Poppins" w:hAnsi="Poppins" w:cs="Poppins"/>
              </w:rPr>
              <w:t xml:space="preserve"> </w:t>
            </w:r>
            <w:r w:rsidRPr="00BB4109">
              <w:rPr>
                <w:rFonts w:ascii="Poppins" w:hAnsi="Poppins" w:cs="Poppins"/>
              </w:rPr>
              <w:t>Aboriginal and/or Torres Strait Islander businesses</w:t>
            </w:r>
            <w:r w:rsidR="00C34F2E">
              <w:rPr>
                <w:rFonts w:ascii="Poppins" w:hAnsi="Poppins" w:cs="Poppins"/>
              </w:rPr>
              <w:t xml:space="preserve"> </w:t>
            </w:r>
            <w:r w:rsidRPr="00BB4109">
              <w:rPr>
                <w:rFonts w:ascii="Poppins" w:hAnsi="Poppins" w:cs="Poppins"/>
              </w:rPr>
              <w:t>outside of the Shire’s relationships that are already developed.</w:t>
            </w:r>
          </w:p>
        </w:tc>
        <w:tc>
          <w:tcPr>
            <w:tcW w:w="1080" w:type="dxa"/>
            <w:shd w:val="clear" w:color="auto" w:fill="D6EBC4" w:themeFill="accent1" w:themeFillTint="66"/>
          </w:tcPr>
          <w:p w14:paraId="3ED9DED4" w14:textId="17CAFD09" w:rsidR="00D720A9" w:rsidRPr="00BB4109" w:rsidRDefault="3AA044B6"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r w:rsidR="00D720A9" w:rsidRPr="006949AB" w14:paraId="6BE30F74" w14:textId="76703DD3"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val="restart"/>
            <w:shd w:val="clear" w:color="auto" w:fill="auto"/>
            <w:hideMark/>
          </w:tcPr>
          <w:p w14:paraId="3E567627" w14:textId="4B026ECD" w:rsidR="00D720A9" w:rsidRPr="006949AB" w:rsidRDefault="00D720A9" w:rsidP="00D720A9">
            <w:pPr>
              <w:pStyle w:val="BodyText"/>
              <w:rPr>
                <w:rFonts w:ascii="Poppins" w:hAnsi="Poppins" w:cs="Poppins"/>
              </w:rPr>
            </w:pPr>
            <w:r>
              <w:rPr>
                <w:rFonts w:ascii="Poppins" w:hAnsi="Poppins" w:cs="Poppins"/>
              </w:rPr>
              <w:t>11</w:t>
            </w:r>
            <w:r w:rsidRPr="006949AB">
              <w:rPr>
                <w:rFonts w:ascii="Poppins" w:hAnsi="Poppins" w:cs="Poppins"/>
              </w:rPr>
              <w:t xml:space="preserve"> </w:t>
            </w:r>
            <w:r w:rsidRPr="001142B9">
              <w:rPr>
                <w:rFonts w:ascii="Poppins" w:hAnsi="Poppins" w:cs="Poppins"/>
              </w:rPr>
              <w:t>Provide networking opportunities for Aboriginal and Torres Strait Islander staff. * </w:t>
            </w:r>
          </w:p>
        </w:tc>
        <w:tc>
          <w:tcPr>
            <w:tcW w:w="3027" w:type="dxa"/>
            <w:shd w:val="clear" w:color="auto" w:fill="auto"/>
            <w:hideMark/>
          </w:tcPr>
          <w:p w14:paraId="15FF8598" w14:textId="4BEA8559"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11.1 </w:t>
            </w:r>
            <w:r w:rsidRPr="00AB1030">
              <w:rPr>
                <w:rFonts w:ascii="Poppins" w:hAnsi="Poppins" w:cs="Poppins"/>
              </w:rPr>
              <w:t>Establish an internal Aboriginal and Torres Strait Islander staff network for all Aboriginal and Torres Strait Islander staff. </w:t>
            </w:r>
          </w:p>
        </w:tc>
        <w:tc>
          <w:tcPr>
            <w:tcW w:w="3573" w:type="dxa"/>
            <w:shd w:val="clear" w:color="auto" w:fill="FFFFFF" w:themeFill="background1"/>
            <w:hideMark/>
          </w:tcPr>
          <w:p w14:paraId="641099A4" w14:textId="1DCDDBFC" w:rsidR="00D720A9" w:rsidRPr="006949AB" w:rsidRDefault="00F9413C"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F9413C">
              <w:rPr>
                <w:rFonts w:ascii="Poppins" w:hAnsi="Poppins" w:cs="Poppins"/>
              </w:rPr>
              <w:t xml:space="preserve">First Nations Ally Group deemed to not be culturally appropriate as the identified staff at the Briars are working in a very supportive environment with each other. Internal RAP Working Group will continue until a cultural audit can be completed which will assist guiding the organisation towards a culturally safe environment for First Nations staff and allies.  </w:t>
            </w:r>
          </w:p>
        </w:tc>
        <w:tc>
          <w:tcPr>
            <w:tcW w:w="1080" w:type="dxa"/>
            <w:shd w:val="clear" w:color="auto" w:fill="FFE8BC" w:themeFill="accent3" w:themeFillTint="66"/>
          </w:tcPr>
          <w:p w14:paraId="4B00C5E8" w14:textId="0CCA3AA0" w:rsidR="00D720A9" w:rsidRPr="006612EC" w:rsidRDefault="07D1347E"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D720A9" w:rsidRPr="006949AB" w14:paraId="7B41EBDD" w14:textId="7F5B7F7E"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hideMark/>
          </w:tcPr>
          <w:p w14:paraId="00D4BE0B" w14:textId="77777777" w:rsidR="00D720A9" w:rsidRPr="006949AB" w:rsidRDefault="00D720A9" w:rsidP="00D720A9">
            <w:pPr>
              <w:pStyle w:val="BodyText"/>
              <w:rPr>
                <w:rFonts w:ascii="Poppins" w:hAnsi="Poppins" w:cs="Poppins"/>
              </w:rPr>
            </w:pPr>
          </w:p>
        </w:tc>
        <w:tc>
          <w:tcPr>
            <w:tcW w:w="3027" w:type="dxa"/>
            <w:shd w:val="clear" w:color="auto" w:fill="auto"/>
            <w:hideMark/>
          </w:tcPr>
          <w:p w14:paraId="7C8B6ADC" w14:textId="510EA808"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11.2 </w:t>
            </w:r>
            <w:r w:rsidRPr="00BE3948">
              <w:rPr>
                <w:rFonts w:ascii="Poppins" w:hAnsi="Poppins" w:cs="Poppins"/>
              </w:rPr>
              <w:t>Create an ally network for non-Indigenous staff to</w:t>
            </w:r>
            <w:r w:rsidR="00DA1B0E">
              <w:rPr>
                <w:rFonts w:ascii="Poppins" w:hAnsi="Poppins" w:cs="Poppins"/>
              </w:rPr>
              <w:t xml:space="preserve"> </w:t>
            </w:r>
            <w:r w:rsidRPr="00BE3948">
              <w:rPr>
                <w:rFonts w:ascii="Poppins" w:hAnsi="Poppins" w:cs="Poppins"/>
              </w:rPr>
              <w:t>strengthen the Shire’s commitment to Reconciliation. </w:t>
            </w:r>
          </w:p>
        </w:tc>
        <w:tc>
          <w:tcPr>
            <w:tcW w:w="3573" w:type="dxa"/>
            <w:shd w:val="clear" w:color="auto" w:fill="FFFFFF" w:themeFill="background1"/>
            <w:hideMark/>
          </w:tcPr>
          <w:p w14:paraId="16D4C2CD" w14:textId="28E7FED4"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4D26BC">
              <w:rPr>
                <w:rFonts w:ascii="Poppins" w:hAnsi="Poppins" w:cs="Poppins"/>
              </w:rPr>
              <w:t>Work is currently underway and is due to be ready to launch in 2026. </w:t>
            </w:r>
          </w:p>
        </w:tc>
        <w:tc>
          <w:tcPr>
            <w:tcW w:w="1080" w:type="dxa"/>
            <w:shd w:val="clear" w:color="auto" w:fill="D6EBC4" w:themeFill="accent1" w:themeFillTint="66"/>
          </w:tcPr>
          <w:p w14:paraId="7437062C" w14:textId="109CD4D5" w:rsidR="00D720A9" w:rsidRPr="004D26BC" w:rsidRDefault="01B705A3"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r w:rsidR="00D720A9" w:rsidRPr="006949AB" w14:paraId="374140C8" w14:textId="0C3FF191"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val="restart"/>
            <w:shd w:val="clear" w:color="auto" w:fill="auto"/>
            <w:hideMark/>
          </w:tcPr>
          <w:p w14:paraId="2B0282BC" w14:textId="4C6A9B7B" w:rsidR="00D720A9" w:rsidRPr="006949AB" w:rsidRDefault="00D720A9" w:rsidP="00D720A9">
            <w:pPr>
              <w:pStyle w:val="BodyText"/>
              <w:rPr>
                <w:rFonts w:ascii="Poppins" w:hAnsi="Poppins" w:cs="Poppins"/>
              </w:rPr>
            </w:pPr>
            <w:r>
              <w:rPr>
                <w:rFonts w:ascii="Poppins" w:hAnsi="Poppins" w:cs="Poppins"/>
              </w:rPr>
              <w:t>12</w:t>
            </w:r>
            <w:r w:rsidRPr="006949AB">
              <w:rPr>
                <w:rFonts w:ascii="Poppins" w:hAnsi="Poppins" w:cs="Poppins"/>
              </w:rPr>
              <w:t xml:space="preserve"> </w:t>
            </w:r>
            <w:r w:rsidRPr="00750C9B">
              <w:rPr>
                <w:rFonts w:ascii="Poppins" w:hAnsi="Poppins" w:cs="Poppins"/>
              </w:rPr>
              <w:t>Establish an Advisory Committee for Aboriginal and</w:t>
            </w:r>
            <w:r w:rsidR="003257D9">
              <w:rPr>
                <w:rFonts w:ascii="Poppins" w:hAnsi="Poppins" w:cs="Poppins"/>
              </w:rPr>
              <w:t xml:space="preserve"> </w:t>
            </w:r>
            <w:r w:rsidRPr="00750C9B">
              <w:rPr>
                <w:rFonts w:ascii="Poppins" w:hAnsi="Poppins" w:cs="Poppins"/>
              </w:rPr>
              <w:t>Torres Strait Islander</w:t>
            </w:r>
            <w:r w:rsidR="003257D9">
              <w:rPr>
                <w:rFonts w:ascii="Poppins" w:hAnsi="Poppins" w:cs="Poppins"/>
              </w:rPr>
              <w:t xml:space="preserve"> </w:t>
            </w:r>
            <w:r w:rsidRPr="00750C9B">
              <w:rPr>
                <w:rFonts w:ascii="Poppins" w:hAnsi="Poppins" w:cs="Poppins"/>
              </w:rPr>
              <w:t>community members to share their voices. * </w:t>
            </w:r>
          </w:p>
        </w:tc>
        <w:tc>
          <w:tcPr>
            <w:tcW w:w="3027" w:type="dxa"/>
            <w:shd w:val="clear" w:color="auto" w:fill="auto"/>
            <w:hideMark/>
          </w:tcPr>
          <w:p w14:paraId="1A5E2D1B" w14:textId="0F1A95B5" w:rsidR="00D720A9" w:rsidRPr="006949AB"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12</w:t>
            </w:r>
            <w:r w:rsidRPr="006949AB">
              <w:rPr>
                <w:rFonts w:ascii="Poppins" w:hAnsi="Poppins" w:cs="Poppins"/>
              </w:rPr>
              <w:t xml:space="preserve">.1 </w:t>
            </w:r>
            <w:r w:rsidRPr="00477CF3">
              <w:rPr>
                <w:rFonts w:ascii="Poppins" w:hAnsi="Poppins" w:cs="Poppins"/>
              </w:rPr>
              <w:t>Endorse the</w:t>
            </w:r>
            <w:r w:rsidR="00DA1B0E">
              <w:rPr>
                <w:rFonts w:ascii="Poppins" w:hAnsi="Poppins" w:cs="Poppins"/>
              </w:rPr>
              <w:t xml:space="preserve"> </w:t>
            </w:r>
            <w:r w:rsidRPr="00477CF3">
              <w:rPr>
                <w:rFonts w:ascii="Poppins" w:hAnsi="Poppins" w:cs="Poppins"/>
              </w:rPr>
              <w:t>Terms of</w:t>
            </w:r>
            <w:r w:rsidR="00DA1B0E">
              <w:rPr>
                <w:rFonts w:ascii="Poppins" w:hAnsi="Poppins" w:cs="Poppins"/>
              </w:rPr>
              <w:t xml:space="preserve"> </w:t>
            </w:r>
            <w:r w:rsidRPr="00477CF3">
              <w:rPr>
                <w:rFonts w:ascii="Poppins" w:hAnsi="Poppins" w:cs="Poppins"/>
              </w:rPr>
              <w:t>Reference for</w:t>
            </w:r>
            <w:r w:rsidR="00DA1B0E">
              <w:rPr>
                <w:rFonts w:ascii="Poppins" w:hAnsi="Poppins" w:cs="Poppins"/>
              </w:rPr>
              <w:t xml:space="preserve"> </w:t>
            </w:r>
            <w:r w:rsidRPr="00477CF3">
              <w:rPr>
                <w:rFonts w:ascii="Poppins" w:hAnsi="Poppins" w:cs="Poppins"/>
              </w:rPr>
              <w:t>Advisory Committee.  </w:t>
            </w:r>
          </w:p>
        </w:tc>
        <w:tc>
          <w:tcPr>
            <w:tcW w:w="3573" w:type="dxa"/>
            <w:shd w:val="clear" w:color="auto" w:fill="FFFFFF" w:themeFill="background1"/>
            <w:hideMark/>
          </w:tcPr>
          <w:p w14:paraId="3E6EAF20" w14:textId="280BBEE5" w:rsidR="00D720A9" w:rsidRPr="006949AB" w:rsidRDefault="29D50627" w:rsidP="00D720A9">
            <w:pPr>
              <w:pStyle w:val="BodyText"/>
              <w:cnfStyle w:val="000000000000" w:firstRow="0" w:lastRow="0" w:firstColumn="0" w:lastColumn="0" w:oddVBand="0" w:evenVBand="0" w:oddHBand="0" w:evenHBand="0" w:firstRowFirstColumn="0" w:firstRowLastColumn="0" w:lastRowFirstColumn="0" w:lastRowLastColumn="0"/>
            </w:pPr>
            <w:r w:rsidRPr="49473559">
              <w:rPr>
                <w:rFonts w:cs="Poppins"/>
              </w:rPr>
              <w:t>T</w:t>
            </w:r>
            <w:r w:rsidRPr="467E54D4">
              <w:rPr>
                <w:rFonts w:cs="Poppins"/>
              </w:rPr>
              <w:t xml:space="preserve">his action has been </w:t>
            </w:r>
            <w:r w:rsidR="50BC93E8" w:rsidRPr="467E54D4">
              <w:rPr>
                <w:rFonts w:cs="Poppins"/>
              </w:rPr>
              <w:t xml:space="preserve">delayed </w:t>
            </w:r>
            <w:r w:rsidR="1507CFC2" w:rsidRPr="467E54D4">
              <w:rPr>
                <w:rFonts w:cs="Poppins"/>
              </w:rPr>
              <w:t xml:space="preserve">for </w:t>
            </w:r>
            <w:r w:rsidR="50BC93E8" w:rsidRPr="467E54D4">
              <w:rPr>
                <w:rFonts w:cs="Poppins"/>
              </w:rPr>
              <w:t xml:space="preserve">Year 2 </w:t>
            </w:r>
            <w:r w:rsidR="5D7E4BBB" w:rsidRPr="467E54D4">
              <w:rPr>
                <w:rFonts w:cs="Poppins"/>
              </w:rPr>
              <w:t>as</w:t>
            </w:r>
            <w:r w:rsidR="68F96FEE" w:rsidRPr="467E54D4">
              <w:rPr>
                <w:rFonts w:cs="Poppins"/>
              </w:rPr>
              <w:t xml:space="preserve"> </w:t>
            </w:r>
            <w:r w:rsidR="2EC37BCC" w:rsidRPr="467E54D4">
              <w:rPr>
                <w:rFonts w:cs="Poppins"/>
              </w:rPr>
              <w:t xml:space="preserve">the </w:t>
            </w:r>
            <w:r w:rsidR="68F96FEE" w:rsidRPr="467E54D4">
              <w:rPr>
                <w:rFonts w:cs="Poppins"/>
              </w:rPr>
              <w:t xml:space="preserve">engagement phase </w:t>
            </w:r>
            <w:r w:rsidR="3B0B808C" w:rsidRPr="467E54D4">
              <w:rPr>
                <w:rFonts w:cs="Poppins"/>
              </w:rPr>
              <w:t xml:space="preserve">of </w:t>
            </w:r>
            <w:r w:rsidR="50BC93E8" w:rsidRPr="467E54D4">
              <w:rPr>
                <w:rFonts w:cs="Poppins"/>
              </w:rPr>
              <w:t>a new</w:t>
            </w:r>
            <w:r w:rsidR="79BD461D" w:rsidRPr="467E54D4">
              <w:rPr>
                <w:rFonts w:cs="Poppins"/>
              </w:rPr>
              <w:t xml:space="preserve"> First Nations </w:t>
            </w:r>
            <w:r w:rsidR="3B0B808C" w:rsidRPr="467E54D4">
              <w:rPr>
                <w:rFonts w:cs="Poppins"/>
              </w:rPr>
              <w:t xml:space="preserve">Engagement </w:t>
            </w:r>
            <w:r w:rsidR="79BD461D" w:rsidRPr="467E54D4">
              <w:rPr>
                <w:rFonts w:cs="Poppins"/>
              </w:rPr>
              <w:t>F</w:t>
            </w:r>
            <w:r w:rsidR="50BC93E8" w:rsidRPr="467E54D4">
              <w:rPr>
                <w:rFonts w:cs="Poppins"/>
              </w:rPr>
              <w:t xml:space="preserve">ramework </w:t>
            </w:r>
            <w:r w:rsidR="3B0B808C" w:rsidRPr="467E54D4">
              <w:rPr>
                <w:rFonts w:cs="Poppins"/>
              </w:rPr>
              <w:t>is</w:t>
            </w:r>
            <w:r w:rsidR="68F96FEE" w:rsidRPr="467E54D4">
              <w:rPr>
                <w:rFonts w:cs="Poppins"/>
              </w:rPr>
              <w:t xml:space="preserve"> informing the </w:t>
            </w:r>
            <w:r w:rsidR="50BC93E8" w:rsidRPr="467E54D4">
              <w:rPr>
                <w:rFonts w:cs="Poppins"/>
              </w:rPr>
              <w:t xml:space="preserve">progress </w:t>
            </w:r>
            <w:r w:rsidR="03E93CD8" w:rsidRPr="467E54D4">
              <w:rPr>
                <w:rFonts w:cs="Poppins"/>
              </w:rPr>
              <w:t>of</w:t>
            </w:r>
            <w:r w:rsidR="52A875A3" w:rsidRPr="467E54D4">
              <w:rPr>
                <w:rFonts w:cs="Poppins"/>
              </w:rPr>
              <w:t xml:space="preserve"> </w:t>
            </w:r>
            <w:r w:rsidR="50BC93E8" w:rsidRPr="467E54D4">
              <w:rPr>
                <w:rFonts w:cs="Poppins"/>
              </w:rPr>
              <w:t xml:space="preserve">the First Nations Advisory </w:t>
            </w:r>
            <w:r w:rsidR="7217529A" w:rsidRPr="467E54D4">
              <w:rPr>
                <w:rFonts w:cs="Poppins"/>
              </w:rPr>
              <w:t>Committee.</w:t>
            </w:r>
          </w:p>
        </w:tc>
        <w:tc>
          <w:tcPr>
            <w:tcW w:w="1080" w:type="dxa"/>
            <w:shd w:val="clear" w:color="auto" w:fill="FFE8BC" w:themeFill="accent3" w:themeFillTint="66"/>
          </w:tcPr>
          <w:p w14:paraId="0C2304AC" w14:textId="1E48DA6F" w:rsidR="00D720A9" w:rsidRPr="000D77CE" w:rsidRDefault="257D2CAC"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D720A9" w:rsidRPr="006949AB" w14:paraId="666DA1C9" w14:textId="5F13651D"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hideMark/>
          </w:tcPr>
          <w:p w14:paraId="5D5F108C" w14:textId="77777777" w:rsidR="00D720A9" w:rsidRPr="006949AB" w:rsidRDefault="00D720A9" w:rsidP="00D720A9">
            <w:pPr>
              <w:pStyle w:val="BodyText"/>
              <w:rPr>
                <w:rFonts w:ascii="Poppins" w:hAnsi="Poppins" w:cs="Poppins"/>
              </w:rPr>
            </w:pPr>
          </w:p>
        </w:tc>
        <w:tc>
          <w:tcPr>
            <w:tcW w:w="3027" w:type="dxa"/>
            <w:shd w:val="clear" w:color="auto" w:fill="auto"/>
            <w:hideMark/>
          </w:tcPr>
          <w:p w14:paraId="230AA72C" w14:textId="60F30F05" w:rsidR="00D720A9" w:rsidRPr="006949AB"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12</w:t>
            </w:r>
            <w:r w:rsidRPr="006949AB">
              <w:rPr>
                <w:rFonts w:ascii="Poppins" w:hAnsi="Poppins" w:cs="Poppins"/>
              </w:rPr>
              <w:t xml:space="preserve">.2 </w:t>
            </w:r>
            <w:r w:rsidRPr="005E7785">
              <w:rPr>
                <w:rFonts w:ascii="Poppins" w:hAnsi="Poppins" w:cs="Poppins"/>
              </w:rPr>
              <w:t>Hold quarterly meetings to</w:t>
            </w:r>
            <w:r w:rsidR="00DA1B0E">
              <w:rPr>
                <w:rFonts w:ascii="Poppins" w:hAnsi="Poppins" w:cs="Poppins"/>
              </w:rPr>
              <w:t xml:space="preserve"> </w:t>
            </w:r>
            <w:r w:rsidRPr="005E7785">
              <w:rPr>
                <w:rFonts w:ascii="Poppins" w:hAnsi="Poppins" w:cs="Poppins"/>
              </w:rPr>
              <w:t>assist</w:t>
            </w:r>
            <w:r w:rsidR="00DA1B0E">
              <w:rPr>
                <w:rFonts w:ascii="Poppins" w:hAnsi="Poppins" w:cs="Poppins"/>
              </w:rPr>
              <w:t xml:space="preserve"> </w:t>
            </w:r>
            <w:r w:rsidRPr="005E7785">
              <w:rPr>
                <w:rFonts w:ascii="Poppins" w:hAnsi="Poppins" w:cs="Poppins"/>
              </w:rPr>
              <w:t>the Shire with the development and implementation of the RAP. </w:t>
            </w:r>
          </w:p>
        </w:tc>
        <w:tc>
          <w:tcPr>
            <w:tcW w:w="3573" w:type="dxa"/>
            <w:shd w:val="clear" w:color="auto" w:fill="FFFFFF" w:themeFill="background1"/>
            <w:hideMark/>
          </w:tcPr>
          <w:p w14:paraId="4C68AACF" w14:textId="495A7B3E" w:rsidR="00D720A9" w:rsidRPr="006D2B30" w:rsidRDefault="348AC135" w:rsidP="00D720A9">
            <w:pPr>
              <w:pStyle w:val="BodyText"/>
              <w:cnfStyle w:val="000000010000" w:firstRow="0" w:lastRow="0" w:firstColumn="0" w:lastColumn="0" w:oddVBand="0" w:evenVBand="0" w:oddHBand="0" w:evenHBand="1" w:firstRowFirstColumn="0" w:firstRowLastColumn="0" w:lastRowFirstColumn="0" w:lastRowLastColumn="0"/>
              <w:rPr>
                <w:rFonts w:cstheme="minorHAnsi"/>
              </w:rPr>
            </w:pPr>
            <w:r w:rsidRPr="006D2B30">
              <w:rPr>
                <w:rFonts w:eastAsia="Segoe UI" w:cstheme="minorHAnsi"/>
                <w:color w:val="242424"/>
              </w:rPr>
              <w:t>This action has been delayed for Year 2 as the engagement phase of a new First Nations Engagement Framework is informing the progress of the First Nations Advisory Committee.</w:t>
            </w:r>
          </w:p>
        </w:tc>
        <w:tc>
          <w:tcPr>
            <w:tcW w:w="1080" w:type="dxa"/>
            <w:shd w:val="clear" w:color="auto" w:fill="FFE8BC" w:themeFill="accent3" w:themeFillTint="66"/>
          </w:tcPr>
          <w:p w14:paraId="061AE267" w14:textId="27A5DA1F" w:rsidR="00D720A9" w:rsidRPr="0069036A" w:rsidRDefault="276BEE31"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D720A9" w:rsidRPr="006949AB" w14:paraId="37CCB9A5" w14:textId="339699D7"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val="restart"/>
            <w:shd w:val="clear" w:color="auto" w:fill="auto"/>
          </w:tcPr>
          <w:p w14:paraId="689D6B7C" w14:textId="598C962C" w:rsidR="00D720A9" w:rsidRPr="006949AB" w:rsidRDefault="00D720A9" w:rsidP="00D720A9">
            <w:pPr>
              <w:pStyle w:val="BodyText"/>
              <w:rPr>
                <w:rFonts w:ascii="Poppins" w:hAnsi="Poppins" w:cs="Poppins"/>
              </w:rPr>
            </w:pPr>
            <w:r>
              <w:rPr>
                <w:rFonts w:ascii="Poppins" w:hAnsi="Poppins" w:cs="Poppins"/>
              </w:rPr>
              <w:t xml:space="preserve">13 </w:t>
            </w:r>
            <w:r w:rsidRPr="003046E3">
              <w:rPr>
                <w:rFonts w:ascii="Poppins" w:hAnsi="Poppins" w:cs="Poppins"/>
              </w:rPr>
              <w:t>Provide culturally safe systems and engagement strategies with Aboriginal and Torres Strait Islander families, young people,</w:t>
            </w:r>
            <w:r w:rsidR="003257D9">
              <w:rPr>
                <w:rFonts w:ascii="Poppins" w:hAnsi="Poppins" w:cs="Poppins"/>
              </w:rPr>
              <w:t xml:space="preserve"> </w:t>
            </w:r>
            <w:r w:rsidRPr="003046E3">
              <w:rPr>
                <w:rFonts w:ascii="Poppins" w:hAnsi="Poppins" w:cs="Poppins"/>
              </w:rPr>
              <w:t>Elders</w:t>
            </w:r>
            <w:r w:rsidR="003257D9">
              <w:rPr>
                <w:rFonts w:ascii="Poppins" w:hAnsi="Poppins" w:cs="Poppins"/>
              </w:rPr>
              <w:t xml:space="preserve"> </w:t>
            </w:r>
            <w:r w:rsidRPr="003046E3">
              <w:rPr>
                <w:rFonts w:ascii="Poppins" w:hAnsi="Poppins" w:cs="Poppins"/>
              </w:rPr>
              <w:t>and community</w:t>
            </w:r>
            <w:r w:rsidR="003257D9">
              <w:rPr>
                <w:rFonts w:ascii="Poppins" w:hAnsi="Poppins" w:cs="Poppins"/>
              </w:rPr>
              <w:t xml:space="preserve"> </w:t>
            </w:r>
            <w:r w:rsidR="00BD35BF" w:rsidRPr="003046E3">
              <w:rPr>
                <w:rFonts w:ascii="Poppins" w:hAnsi="Poppins" w:cs="Poppins"/>
              </w:rPr>
              <w:t>members. *</w:t>
            </w:r>
            <w:r w:rsidRPr="003046E3">
              <w:rPr>
                <w:rFonts w:ascii="Poppins" w:hAnsi="Poppins" w:cs="Poppins"/>
              </w:rPr>
              <w:t> </w:t>
            </w:r>
          </w:p>
        </w:tc>
        <w:tc>
          <w:tcPr>
            <w:tcW w:w="3027" w:type="dxa"/>
            <w:shd w:val="clear" w:color="auto" w:fill="auto"/>
          </w:tcPr>
          <w:p w14:paraId="7A31663C" w14:textId="79BC3CFD" w:rsidR="00D720A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13.1 </w:t>
            </w:r>
            <w:r w:rsidRPr="00586E15">
              <w:rPr>
                <w:rFonts w:ascii="Poppins" w:hAnsi="Poppins" w:cs="Poppins"/>
              </w:rPr>
              <w:t>Deliver the Koorie Kids Shine and Best Start programs to promote access to</w:t>
            </w:r>
            <w:r w:rsidR="003257D9">
              <w:rPr>
                <w:rFonts w:ascii="Poppins" w:hAnsi="Poppins" w:cs="Poppins"/>
              </w:rPr>
              <w:t xml:space="preserve"> </w:t>
            </w:r>
            <w:r w:rsidRPr="00586E15">
              <w:rPr>
                <w:rFonts w:ascii="Poppins" w:hAnsi="Poppins" w:cs="Poppins"/>
              </w:rPr>
              <w:t>high-quality</w:t>
            </w:r>
            <w:r w:rsidR="003257D9">
              <w:rPr>
                <w:rFonts w:ascii="Poppins" w:hAnsi="Poppins" w:cs="Poppins"/>
              </w:rPr>
              <w:t xml:space="preserve"> </w:t>
            </w:r>
            <w:r w:rsidRPr="00586E15">
              <w:rPr>
                <w:rFonts w:ascii="Poppins" w:hAnsi="Poppins" w:cs="Poppins"/>
              </w:rPr>
              <w:t>Kindergarten. </w:t>
            </w:r>
          </w:p>
        </w:tc>
        <w:tc>
          <w:tcPr>
            <w:tcW w:w="3573" w:type="dxa"/>
            <w:shd w:val="clear" w:color="auto" w:fill="FFFFFF" w:themeFill="background1"/>
          </w:tcPr>
          <w:p w14:paraId="542C051B" w14:textId="12BE76A9" w:rsidR="00D720A9" w:rsidRPr="0069036A"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15632F">
              <w:rPr>
                <w:rFonts w:ascii="Poppins" w:hAnsi="Poppins" w:cs="Poppins"/>
              </w:rPr>
              <w:t>Delivery of the Best Start partnership continues, with ongoing promotion of Koorie Kids Shine, Early Start Kindergarten and Pre-Prep programs to support increased participation and positive early learning outcomes for First Nations children and families. </w:t>
            </w:r>
          </w:p>
        </w:tc>
        <w:tc>
          <w:tcPr>
            <w:tcW w:w="1080" w:type="dxa"/>
            <w:shd w:val="clear" w:color="auto" w:fill="D6EBC4" w:themeFill="accent1" w:themeFillTint="66"/>
          </w:tcPr>
          <w:p w14:paraId="3398A047" w14:textId="3287A45F" w:rsidR="00D720A9" w:rsidRPr="0015632F" w:rsidRDefault="58CE256E"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D720A9" w:rsidRPr="006949AB" w14:paraId="3D8B6806" w14:textId="6683AC48"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4CD3DCFB" w14:textId="77777777" w:rsidR="00D720A9" w:rsidRPr="006949AB" w:rsidRDefault="00D720A9" w:rsidP="00D720A9">
            <w:pPr>
              <w:pStyle w:val="BodyText"/>
              <w:rPr>
                <w:rFonts w:ascii="Poppins" w:hAnsi="Poppins" w:cs="Poppins"/>
              </w:rPr>
            </w:pPr>
          </w:p>
        </w:tc>
        <w:tc>
          <w:tcPr>
            <w:tcW w:w="3027" w:type="dxa"/>
            <w:shd w:val="clear" w:color="auto" w:fill="auto"/>
          </w:tcPr>
          <w:p w14:paraId="76D168F0" w14:textId="434649F9" w:rsidR="00D720A9"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13.2 </w:t>
            </w:r>
            <w:r w:rsidRPr="00B8101E">
              <w:rPr>
                <w:rFonts w:ascii="Poppins" w:hAnsi="Poppins" w:cs="Poppins"/>
              </w:rPr>
              <w:t>Maintain</w:t>
            </w:r>
            <w:r w:rsidR="00BD35BF">
              <w:rPr>
                <w:rFonts w:ascii="Poppins" w:hAnsi="Poppins" w:cs="Poppins"/>
              </w:rPr>
              <w:t xml:space="preserve"> </w:t>
            </w:r>
            <w:r w:rsidRPr="00B8101E">
              <w:rPr>
                <w:rFonts w:ascii="Poppins" w:hAnsi="Poppins" w:cs="Poppins"/>
              </w:rPr>
              <w:t>the Child Safe Policy to provide a culturally safe environment in which the diverse and unique identities and experiences of</w:t>
            </w:r>
            <w:r w:rsidR="003257D9">
              <w:rPr>
                <w:rFonts w:ascii="Poppins" w:hAnsi="Poppins" w:cs="Poppins"/>
              </w:rPr>
              <w:t xml:space="preserve"> </w:t>
            </w:r>
            <w:r w:rsidRPr="00B8101E">
              <w:rPr>
                <w:rFonts w:ascii="Poppins" w:hAnsi="Poppins" w:cs="Poppins"/>
              </w:rPr>
              <w:t>Aboriginal children and young people who live or visit the Shire are respected and valued.  </w:t>
            </w:r>
          </w:p>
        </w:tc>
        <w:tc>
          <w:tcPr>
            <w:tcW w:w="3573" w:type="dxa"/>
            <w:shd w:val="clear" w:color="auto" w:fill="FFFFFF" w:themeFill="background1"/>
          </w:tcPr>
          <w:p w14:paraId="5AB3C4A2" w14:textId="66DC9ABE" w:rsidR="00D720A9" w:rsidRPr="0069036A"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6B5C7F">
              <w:rPr>
                <w:rFonts w:ascii="Poppins" w:hAnsi="Poppins" w:cs="Poppins"/>
              </w:rPr>
              <w:t>The Child Safety and Wellbeing Policy and the Child Safety Code of conduct were reviewed and endorsed by</w:t>
            </w:r>
            <w:r w:rsidR="00BD35BF">
              <w:rPr>
                <w:rFonts w:ascii="Poppins" w:hAnsi="Poppins" w:cs="Poppins"/>
              </w:rPr>
              <w:t xml:space="preserve"> the</w:t>
            </w:r>
            <w:r w:rsidRPr="006B5C7F">
              <w:rPr>
                <w:rFonts w:ascii="Poppins" w:hAnsi="Poppins" w:cs="Poppins"/>
              </w:rPr>
              <w:t xml:space="preserve"> Executive</w:t>
            </w:r>
            <w:r w:rsidR="00BD35BF">
              <w:rPr>
                <w:rFonts w:ascii="Poppins" w:hAnsi="Poppins" w:cs="Poppins"/>
              </w:rPr>
              <w:t xml:space="preserve"> Team</w:t>
            </w:r>
            <w:r w:rsidRPr="006B5C7F">
              <w:rPr>
                <w:rFonts w:ascii="Poppins" w:hAnsi="Poppins" w:cs="Poppins"/>
              </w:rPr>
              <w:t xml:space="preserve"> on 19/11/2025. The Code of Conduct explicitly promotes cultural safety for Aboriginal and Torres Strait Islander children and young people. The Policy explicitly requires the Shire to establish</w:t>
            </w:r>
            <w:r w:rsidR="003257D9">
              <w:rPr>
                <w:rFonts w:ascii="Poppins" w:hAnsi="Poppins" w:cs="Poppins"/>
              </w:rPr>
              <w:t xml:space="preserve"> </w:t>
            </w:r>
            <w:r w:rsidRPr="006B5C7F">
              <w:rPr>
                <w:rFonts w:ascii="Poppins" w:hAnsi="Poppins" w:cs="Poppins"/>
              </w:rPr>
              <w:t>and maintain a culturally safe</w:t>
            </w:r>
            <w:r w:rsidR="00BD35BF">
              <w:rPr>
                <w:rFonts w:ascii="Poppins" w:hAnsi="Poppins" w:cs="Poppins"/>
              </w:rPr>
              <w:t xml:space="preserve"> </w:t>
            </w:r>
            <w:r w:rsidRPr="006B5C7F">
              <w:rPr>
                <w:rFonts w:ascii="Poppins" w:hAnsi="Poppins" w:cs="Poppins"/>
              </w:rPr>
              <w:t>environment</w:t>
            </w:r>
            <w:r w:rsidR="003257D9">
              <w:rPr>
                <w:rFonts w:ascii="Poppins" w:hAnsi="Poppins" w:cs="Poppins"/>
              </w:rPr>
              <w:t xml:space="preserve"> </w:t>
            </w:r>
            <w:r w:rsidRPr="006B5C7F">
              <w:rPr>
                <w:rFonts w:ascii="Poppins" w:hAnsi="Poppins" w:cs="Poppins"/>
              </w:rPr>
              <w:t>i</w:t>
            </w:r>
            <w:r>
              <w:rPr>
                <w:rFonts w:ascii="Poppins" w:hAnsi="Poppins" w:cs="Poppins"/>
              </w:rPr>
              <w:t xml:space="preserve">n </w:t>
            </w:r>
            <w:r w:rsidRPr="006B5C7F">
              <w:rPr>
                <w:rFonts w:ascii="Poppins" w:hAnsi="Poppins" w:cs="Poppins"/>
              </w:rPr>
              <w:t>which diverse and unique identities and experiences of Aboriginal children and young people are respected and valued.</w:t>
            </w:r>
          </w:p>
        </w:tc>
        <w:tc>
          <w:tcPr>
            <w:tcW w:w="1080" w:type="dxa"/>
            <w:shd w:val="clear" w:color="auto" w:fill="D6EBC4" w:themeFill="accent1" w:themeFillTint="66"/>
          </w:tcPr>
          <w:p w14:paraId="6475240A" w14:textId="698AC64B" w:rsidR="00D720A9" w:rsidRPr="006B5C7F" w:rsidRDefault="44621E07"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Ongoing</w:t>
            </w:r>
          </w:p>
        </w:tc>
      </w:tr>
      <w:tr w:rsidR="00D720A9" w:rsidRPr="006949AB" w14:paraId="3CCD0516" w14:textId="52BBFE9B"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22E0B768" w14:textId="77777777" w:rsidR="00D720A9" w:rsidRPr="006949AB" w:rsidRDefault="00D720A9" w:rsidP="00D720A9">
            <w:pPr>
              <w:pStyle w:val="BodyText"/>
              <w:rPr>
                <w:rFonts w:ascii="Poppins" w:hAnsi="Poppins" w:cs="Poppins"/>
              </w:rPr>
            </w:pPr>
          </w:p>
        </w:tc>
        <w:tc>
          <w:tcPr>
            <w:tcW w:w="3027" w:type="dxa"/>
            <w:shd w:val="clear" w:color="auto" w:fill="auto"/>
          </w:tcPr>
          <w:p w14:paraId="21E8C6BB" w14:textId="71EBBBC7" w:rsidR="00D720A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13.3 </w:t>
            </w:r>
            <w:r w:rsidRPr="00D82DF6">
              <w:rPr>
                <w:rFonts w:ascii="Poppins" w:hAnsi="Poppins" w:cs="Poppins"/>
              </w:rPr>
              <w:t>Connect young families to the Gathering Places through central Kindergarten registration.</w:t>
            </w:r>
            <w:r w:rsidR="00975AA5">
              <w:rPr>
                <w:rFonts w:ascii="Poppins" w:hAnsi="Poppins" w:cs="Poppins"/>
              </w:rPr>
              <w:t xml:space="preserve"> </w:t>
            </w:r>
          </w:p>
        </w:tc>
        <w:tc>
          <w:tcPr>
            <w:tcW w:w="3573" w:type="dxa"/>
            <w:shd w:val="clear" w:color="auto" w:fill="FFFFFF" w:themeFill="background1"/>
          </w:tcPr>
          <w:p w14:paraId="7A1CC561" w14:textId="3984DA1C" w:rsidR="00D720A9" w:rsidRPr="0069036A"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A1EEE">
              <w:rPr>
                <w:rFonts w:ascii="Poppins" w:hAnsi="Poppins" w:cs="Poppins"/>
              </w:rPr>
              <w:t>The number of families connected to local Aboriginal Gathering Places has continued to grow, connecting approximately</w:t>
            </w:r>
            <w:r w:rsidR="00CD48B2">
              <w:rPr>
                <w:rFonts w:ascii="Poppins" w:hAnsi="Poppins" w:cs="Poppins"/>
              </w:rPr>
              <w:t xml:space="preserve"> </w:t>
            </w:r>
            <w:r w:rsidRPr="004A1EEE">
              <w:rPr>
                <w:rFonts w:ascii="Poppins" w:hAnsi="Poppins" w:cs="Poppins"/>
              </w:rPr>
              <w:t>25</w:t>
            </w:r>
            <w:r w:rsidR="00CD48B2">
              <w:rPr>
                <w:rFonts w:ascii="Poppins" w:hAnsi="Poppins" w:cs="Poppins"/>
              </w:rPr>
              <w:t xml:space="preserve"> </w:t>
            </w:r>
            <w:r w:rsidRPr="004A1EEE">
              <w:rPr>
                <w:rFonts w:ascii="Poppins" w:hAnsi="Poppins" w:cs="Poppins"/>
              </w:rPr>
              <w:t>families</w:t>
            </w:r>
            <w:r w:rsidR="00FE025E">
              <w:rPr>
                <w:rFonts w:ascii="Poppins" w:hAnsi="Poppins" w:cs="Poppins"/>
              </w:rPr>
              <w:t>. This</w:t>
            </w:r>
            <w:r w:rsidRPr="004A1EEE">
              <w:rPr>
                <w:rFonts w:ascii="Poppins" w:hAnsi="Poppins" w:cs="Poppins"/>
              </w:rPr>
              <w:t xml:space="preserve"> reflect</w:t>
            </w:r>
            <w:r w:rsidR="00FE025E">
              <w:rPr>
                <w:rFonts w:ascii="Poppins" w:hAnsi="Poppins" w:cs="Poppins"/>
              </w:rPr>
              <w:t>s</w:t>
            </w:r>
            <w:r w:rsidRPr="004A1EEE">
              <w:rPr>
                <w:rFonts w:ascii="Poppins" w:hAnsi="Poppins" w:cs="Poppins"/>
              </w:rPr>
              <w:t xml:space="preserve"> ongoing efforts to strengthen connections between First Nations families and culturally safe community support networks. </w:t>
            </w:r>
          </w:p>
        </w:tc>
        <w:tc>
          <w:tcPr>
            <w:tcW w:w="1080" w:type="dxa"/>
            <w:shd w:val="clear" w:color="auto" w:fill="D6EBC4" w:themeFill="accent1" w:themeFillTint="66"/>
          </w:tcPr>
          <w:p w14:paraId="112354AE" w14:textId="4502E353" w:rsidR="00D720A9" w:rsidRPr="004A1EEE" w:rsidRDefault="346DCA58"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D720A9" w:rsidRPr="006949AB" w14:paraId="592234E6" w14:textId="6EDACF8A"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0D933832" w14:textId="77777777" w:rsidR="00D720A9" w:rsidRPr="006949AB" w:rsidRDefault="00D720A9" w:rsidP="00D720A9">
            <w:pPr>
              <w:pStyle w:val="BodyText"/>
              <w:rPr>
                <w:rFonts w:ascii="Poppins" w:hAnsi="Poppins" w:cs="Poppins"/>
              </w:rPr>
            </w:pPr>
          </w:p>
        </w:tc>
        <w:tc>
          <w:tcPr>
            <w:tcW w:w="3027" w:type="dxa"/>
            <w:shd w:val="clear" w:color="auto" w:fill="auto"/>
          </w:tcPr>
          <w:p w14:paraId="63DF9E05" w14:textId="3CFB8875" w:rsidR="00D720A9"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13.4 </w:t>
            </w:r>
            <w:r w:rsidRPr="006B117F">
              <w:rPr>
                <w:rFonts w:ascii="Poppins" w:hAnsi="Poppins" w:cs="Poppins"/>
              </w:rPr>
              <w:t>Host quarterly yarning circles with Koorie Engagement Support Officers (KESOs) and Frankston City Council. </w:t>
            </w:r>
          </w:p>
        </w:tc>
        <w:tc>
          <w:tcPr>
            <w:tcW w:w="3573" w:type="dxa"/>
            <w:shd w:val="clear" w:color="auto" w:fill="FFFFFF" w:themeFill="background1"/>
          </w:tcPr>
          <w:p w14:paraId="14BE0714" w14:textId="17C9B655" w:rsidR="00D720A9" w:rsidRPr="0069036A"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1A59ED">
              <w:rPr>
                <w:rFonts w:ascii="Poppins" w:hAnsi="Poppins" w:cs="Poppins"/>
              </w:rPr>
              <w:t>Three Yarning Circles were held across the 2025-2026</w:t>
            </w:r>
            <w:r w:rsidR="00253E1E">
              <w:rPr>
                <w:rFonts w:ascii="Poppins" w:hAnsi="Poppins" w:cs="Poppins"/>
              </w:rPr>
              <w:t xml:space="preserve"> </w:t>
            </w:r>
            <w:r w:rsidRPr="001A59ED">
              <w:rPr>
                <w:rFonts w:ascii="Poppins" w:hAnsi="Poppins" w:cs="Poppins"/>
              </w:rPr>
              <w:t>financial year</w:t>
            </w:r>
            <w:r w:rsidR="001A02D3">
              <w:rPr>
                <w:rFonts w:ascii="Poppins" w:hAnsi="Poppins" w:cs="Poppins"/>
              </w:rPr>
              <w:t xml:space="preserve"> </w:t>
            </w:r>
            <w:r w:rsidRPr="001A59ED">
              <w:rPr>
                <w:rFonts w:ascii="Poppins" w:hAnsi="Poppins" w:cs="Poppins"/>
              </w:rPr>
              <w:t xml:space="preserve">including one at Mornington Library (November 2025), Early Learning </w:t>
            </w:r>
            <w:r w:rsidRPr="001A59ED">
              <w:rPr>
                <w:rFonts w:ascii="Poppins" w:hAnsi="Poppins" w:cs="Poppins"/>
              </w:rPr>
              <w:lastRenderedPageBreak/>
              <w:t xml:space="preserve">Victoria </w:t>
            </w:r>
            <w:proofErr w:type="spellStart"/>
            <w:r w:rsidRPr="001A59ED">
              <w:rPr>
                <w:rFonts w:ascii="Poppins" w:hAnsi="Poppins" w:cs="Poppins"/>
              </w:rPr>
              <w:t>Ngawak</w:t>
            </w:r>
            <w:proofErr w:type="spellEnd"/>
            <w:r w:rsidRPr="001A59ED">
              <w:rPr>
                <w:rFonts w:ascii="Poppins" w:hAnsi="Poppins" w:cs="Poppins"/>
              </w:rPr>
              <w:t xml:space="preserve"> (</w:t>
            </w:r>
            <w:proofErr w:type="gramStart"/>
            <w:r w:rsidRPr="001A59ED">
              <w:rPr>
                <w:rFonts w:ascii="Poppins" w:hAnsi="Poppins" w:cs="Poppins"/>
              </w:rPr>
              <w:t>March,</w:t>
            </w:r>
            <w:proofErr w:type="gramEnd"/>
            <w:r w:rsidR="001A02D3">
              <w:rPr>
                <w:rFonts w:ascii="Poppins" w:hAnsi="Poppins" w:cs="Poppins"/>
              </w:rPr>
              <w:t xml:space="preserve"> </w:t>
            </w:r>
            <w:r w:rsidRPr="001A59ED">
              <w:rPr>
                <w:rFonts w:ascii="Poppins" w:hAnsi="Poppins" w:cs="Poppins"/>
              </w:rPr>
              <w:t>2026), and an online Treaty Yarn with the Department of Education and First Peoples' Victoria (</w:t>
            </w:r>
            <w:proofErr w:type="gramStart"/>
            <w:r w:rsidRPr="001A59ED">
              <w:rPr>
                <w:rFonts w:ascii="Poppins" w:hAnsi="Poppins" w:cs="Poppins"/>
              </w:rPr>
              <w:t>June,</w:t>
            </w:r>
            <w:proofErr w:type="gramEnd"/>
            <w:r w:rsidR="001A02D3">
              <w:rPr>
                <w:rFonts w:ascii="Poppins" w:hAnsi="Poppins" w:cs="Poppins"/>
              </w:rPr>
              <w:t xml:space="preserve"> </w:t>
            </w:r>
            <w:r w:rsidRPr="001A59ED">
              <w:rPr>
                <w:rFonts w:ascii="Poppins" w:hAnsi="Poppins" w:cs="Poppins"/>
              </w:rPr>
              <w:t>2026). Sessions explored Treaty, truth-telling, self-determination, and cultural safety, strengthening partnerships with Aboriginal Community Controlled Organisations and shared understanding across the sector. </w:t>
            </w:r>
          </w:p>
        </w:tc>
        <w:tc>
          <w:tcPr>
            <w:tcW w:w="1080" w:type="dxa"/>
            <w:shd w:val="clear" w:color="auto" w:fill="D6EBC4" w:themeFill="accent1" w:themeFillTint="66"/>
          </w:tcPr>
          <w:p w14:paraId="5B58C7DC" w14:textId="4822A69C" w:rsidR="00D720A9" w:rsidRPr="001A59ED" w:rsidRDefault="2F28D9A5"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lastRenderedPageBreak/>
              <w:t>Ongoing</w:t>
            </w:r>
          </w:p>
        </w:tc>
      </w:tr>
      <w:tr w:rsidR="00D720A9" w:rsidRPr="006949AB" w14:paraId="402DE8EA" w14:textId="5DC2B761"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2F8360DA" w14:textId="77777777" w:rsidR="00D720A9" w:rsidRPr="006949AB" w:rsidRDefault="00D720A9" w:rsidP="00D720A9">
            <w:pPr>
              <w:pStyle w:val="BodyText"/>
              <w:rPr>
                <w:rFonts w:ascii="Poppins" w:hAnsi="Poppins" w:cs="Poppins"/>
              </w:rPr>
            </w:pPr>
          </w:p>
        </w:tc>
        <w:tc>
          <w:tcPr>
            <w:tcW w:w="3027" w:type="dxa"/>
            <w:shd w:val="clear" w:color="auto" w:fill="auto"/>
          </w:tcPr>
          <w:p w14:paraId="5E27512D" w14:textId="7FA98652" w:rsidR="00D720A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13.5 </w:t>
            </w:r>
            <w:r w:rsidRPr="0034741F">
              <w:rPr>
                <w:rFonts w:ascii="Poppins" w:hAnsi="Poppins" w:cs="Poppins"/>
              </w:rPr>
              <w:t>Host an event to celebrate Aboriginal and Torres Strait Islander</w:t>
            </w:r>
            <w:r w:rsidR="00BC04D0">
              <w:rPr>
                <w:rFonts w:ascii="Poppins" w:hAnsi="Poppins" w:cs="Poppins"/>
              </w:rPr>
              <w:t xml:space="preserve"> </w:t>
            </w:r>
            <w:r w:rsidRPr="0034741F">
              <w:rPr>
                <w:rFonts w:ascii="Poppins" w:hAnsi="Poppins" w:cs="Poppins"/>
              </w:rPr>
              <w:t>Children’s</w:t>
            </w:r>
            <w:r w:rsidR="00BC04D0">
              <w:rPr>
                <w:rFonts w:ascii="Poppins" w:hAnsi="Poppins" w:cs="Poppins"/>
              </w:rPr>
              <w:t xml:space="preserve"> </w:t>
            </w:r>
            <w:r w:rsidRPr="0034741F">
              <w:rPr>
                <w:rFonts w:ascii="Poppins" w:hAnsi="Poppins" w:cs="Poppins"/>
              </w:rPr>
              <w:t>Day. </w:t>
            </w:r>
          </w:p>
        </w:tc>
        <w:tc>
          <w:tcPr>
            <w:tcW w:w="3573" w:type="dxa"/>
            <w:shd w:val="clear" w:color="auto" w:fill="FFFFFF" w:themeFill="background1"/>
          </w:tcPr>
          <w:p w14:paraId="25621E37" w14:textId="5FFEB43A" w:rsidR="00D720A9" w:rsidRPr="001A59ED"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D177A4">
              <w:rPr>
                <w:rFonts w:ascii="Poppins" w:hAnsi="Poppins" w:cs="Poppins"/>
              </w:rPr>
              <w:t>On 4 August 2025, approximately 50 people</w:t>
            </w:r>
            <w:r w:rsidR="001A02D3">
              <w:rPr>
                <w:rFonts w:ascii="Poppins" w:hAnsi="Poppins" w:cs="Poppins"/>
              </w:rPr>
              <w:t xml:space="preserve"> </w:t>
            </w:r>
            <w:r w:rsidRPr="00D177A4">
              <w:rPr>
                <w:rFonts w:ascii="Poppins" w:hAnsi="Poppins" w:cs="Poppins"/>
              </w:rPr>
              <w:t>attended</w:t>
            </w:r>
            <w:r w:rsidR="001A02D3">
              <w:rPr>
                <w:rFonts w:ascii="Poppins" w:hAnsi="Poppins" w:cs="Poppins"/>
              </w:rPr>
              <w:t xml:space="preserve"> </w:t>
            </w:r>
            <w:r w:rsidRPr="00D177A4">
              <w:rPr>
                <w:rFonts w:ascii="Poppins" w:hAnsi="Poppins" w:cs="Poppins"/>
              </w:rPr>
              <w:t>including children, parents and carers</w:t>
            </w:r>
            <w:r w:rsidR="001A02D3">
              <w:rPr>
                <w:rFonts w:ascii="Poppins" w:hAnsi="Poppins" w:cs="Poppins"/>
              </w:rPr>
              <w:t xml:space="preserve"> </w:t>
            </w:r>
            <w:r w:rsidRPr="00D177A4">
              <w:rPr>
                <w:rFonts w:ascii="Poppins" w:hAnsi="Poppins" w:cs="Poppins"/>
              </w:rPr>
              <w:t>engaged with a Welcome to Country from a Traditional Owner and Willum Warrain provided a Story time with children’s activities that followed.</w:t>
            </w:r>
            <w:r w:rsidR="001A02D3">
              <w:rPr>
                <w:rFonts w:ascii="Poppins" w:hAnsi="Poppins" w:cs="Poppins"/>
              </w:rPr>
              <w:t xml:space="preserve"> </w:t>
            </w:r>
            <w:r w:rsidRPr="00D177A4">
              <w:rPr>
                <w:rFonts w:ascii="Poppins" w:hAnsi="Poppins" w:cs="Poppins"/>
              </w:rPr>
              <w:t>The planning</w:t>
            </w:r>
            <w:r w:rsidR="001A02D3">
              <w:rPr>
                <w:rFonts w:ascii="Poppins" w:hAnsi="Poppins" w:cs="Poppins"/>
              </w:rPr>
              <w:t xml:space="preserve"> </w:t>
            </w:r>
            <w:r w:rsidRPr="00D177A4">
              <w:rPr>
                <w:rFonts w:ascii="Poppins" w:hAnsi="Poppins" w:cs="Poppins"/>
              </w:rPr>
              <w:t>for 2026 is currently</w:t>
            </w:r>
            <w:r w:rsidR="001A02D3">
              <w:rPr>
                <w:rFonts w:ascii="Poppins" w:hAnsi="Poppins" w:cs="Poppins"/>
              </w:rPr>
              <w:t xml:space="preserve"> </w:t>
            </w:r>
            <w:r w:rsidRPr="00D177A4">
              <w:rPr>
                <w:rFonts w:ascii="Poppins" w:hAnsi="Poppins" w:cs="Poppins"/>
              </w:rPr>
              <w:t>underway</w:t>
            </w:r>
            <w:r w:rsidR="001A02D3">
              <w:rPr>
                <w:rFonts w:ascii="Poppins" w:hAnsi="Poppins" w:cs="Poppins"/>
              </w:rPr>
              <w:t xml:space="preserve"> </w:t>
            </w:r>
            <w:r w:rsidRPr="00D177A4">
              <w:rPr>
                <w:rFonts w:ascii="Poppins" w:hAnsi="Poppins" w:cs="Poppins"/>
              </w:rPr>
              <w:t>for an event to be held at Rosebud Library on Thursday 6 August.</w:t>
            </w:r>
            <w:r w:rsidR="001A02D3">
              <w:rPr>
                <w:rFonts w:ascii="Poppins" w:hAnsi="Poppins" w:cs="Poppins"/>
              </w:rPr>
              <w:t xml:space="preserve"> </w:t>
            </w:r>
            <w:r w:rsidRPr="00D177A4">
              <w:rPr>
                <w:rFonts w:ascii="Poppins" w:hAnsi="Poppins" w:cs="Poppins"/>
              </w:rPr>
              <w:t>This event will include a Welcome to Country from a Traditional Owner, Boon Wurrung Elder will provide a Storytime with their own book they authored, Willum Warrain and First People’s Health and Wellbeing will also be involved.</w:t>
            </w:r>
          </w:p>
        </w:tc>
        <w:tc>
          <w:tcPr>
            <w:tcW w:w="1080" w:type="dxa"/>
            <w:shd w:val="clear" w:color="auto" w:fill="D6EBC4" w:themeFill="accent1" w:themeFillTint="66"/>
          </w:tcPr>
          <w:p w14:paraId="1201E666" w14:textId="6D5452A8" w:rsidR="00D720A9" w:rsidRPr="00D177A4" w:rsidRDefault="25865530"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D720A9" w:rsidRPr="006949AB" w14:paraId="420D4BC7" w14:textId="0E48F880"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266F298D" w14:textId="77777777" w:rsidR="00D720A9" w:rsidRPr="006949AB" w:rsidRDefault="00D720A9" w:rsidP="00D720A9">
            <w:pPr>
              <w:pStyle w:val="BodyText"/>
              <w:rPr>
                <w:rFonts w:ascii="Poppins" w:hAnsi="Poppins" w:cs="Poppins"/>
              </w:rPr>
            </w:pPr>
          </w:p>
        </w:tc>
        <w:tc>
          <w:tcPr>
            <w:tcW w:w="3027" w:type="dxa"/>
            <w:shd w:val="clear" w:color="auto" w:fill="auto"/>
          </w:tcPr>
          <w:p w14:paraId="1199DBB8" w14:textId="38DF891F" w:rsidR="00D720A9"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13.6 </w:t>
            </w:r>
            <w:r w:rsidRPr="00107FA2">
              <w:rPr>
                <w:rFonts w:ascii="Poppins" w:hAnsi="Poppins" w:cs="Poppins"/>
              </w:rPr>
              <w:t>Facilitate programs for Aboriginal and Torres Strait Islander youth to</w:t>
            </w:r>
            <w:r w:rsidR="009E18DF">
              <w:rPr>
                <w:rFonts w:ascii="Poppins" w:hAnsi="Poppins" w:cs="Poppins"/>
              </w:rPr>
              <w:t xml:space="preserve"> </w:t>
            </w:r>
            <w:r w:rsidRPr="00107FA2">
              <w:rPr>
                <w:rFonts w:ascii="Poppins" w:hAnsi="Poppins" w:cs="Poppins"/>
              </w:rPr>
              <w:t>learn and connect to culture.</w:t>
            </w:r>
          </w:p>
        </w:tc>
        <w:tc>
          <w:tcPr>
            <w:tcW w:w="3573" w:type="dxa"/>
            <w:shd w:val="clear" w:color="auto" w:fill="FFFFFF" w:themeFill="background1"/>
          </w:tcPr>
          <w:p w14:paraId="568EDEFC" w14:textId="5A5C4999" w:rsidR="00D720A9" w:rsidRPr="001A59ED"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2106A3">
              <w:rPr>
                <w:rFonts w:ascii="Poppins" w:hAnsi="Poppins" w:cs="Poppins"/>
              </w:rPr>
              <w:t>In September 2025, Council adopted a new approach</w:t>
            </w:r>
            <w:r w:rsidR="009E18DF">
              <w:rPr>
                <w:rFonts w:ascii="Poppins" w:hAnsi="Poppins" w:cs="Poppins"/>
              </w:rPr>
              <w:t xml:space="preserve"> </w:t>
            </w:r>
            <w:r w:rsidRPr="002106A3">
              <w:rPr>
                <w:rFonts w:ascii="Poppins" w:hAnsi="Poppins" w:cs="Poppins"/>
              </w:rPr>
              <w:t>to engaging and supporting young people, focused on strengthening existing partnerships and developing new collaborations, including with</w:t>
            </w:r>
            <w:r w:rsidR="009E18DF">
              <w:rPr>
                <w:rFonts w:ascii="Poppins" w:hAnsi="Poppins" w:cs="Poppins"/>
              </w:rPr>
              <w:t xml:space="preserve"> </w:t>
            </w:r>
            <w:r w:rsidRPr="002106A3">
              <w:rPr>
                <w:rFonts w:ascii="Poppins" w:hAnsi="Poppins" w:cs="Poppins"/>
              </w:rPr>
              <w:t xml:space="preserve">organisations that support Aboriginal and Torres Strait Islander young people. While this partnership model is being implemented, the Shire’s three youth </w:t>
            </w:r>
            <w:r w:rsidR="0026247E">
              <w:rPr>
                <w:rFonts w:ascii="Poppins" w:hAnsi="Poppins" w:cs="Poppins"/>
              </w:rPr>
              <w:t>hubs</w:t>
            </w:r>
            <w:r w:rsidRPr="002106A3">
              <w:rPr>
                <w:rFonts w:ascii="Poppins" w:hAnsi="Poppins" w:cs="Poppins"/>
              </w:rPr>
              <w:t xml:space="preserve"> continue to provide safe and inclusive spaces for young people, with the co-location of Headspace at the</w:t>
            </w:r>
            <w:r w:rsidR="009E18DF">
              <w:rPr>
                <w:rFonts w:ascii="Poppins" w:hAnsi="Poppins" w:cs="Poppins"/>
              </w:rPr>
              <w:t xml:space="preserve"> </w:t>
            </w:r>
            <w:r w:rsidRPr="002106A3">
              <w:rPr>
                <w:rFonts w:ascii="Poppins" w:hAnsi="Poppins" w:cs="Poppins"/>
              </w:rPr>
              <w:t>Tounnin</w:t>
            </w:r>
            <w:r w:rsidR="009E18DF">
              <w:rPr>
                <w:rFonts w:ascii="Poppins" w:hAnsi="Poppins" w:cs="Poppins"/>
              </w:rPr>
              <w:t xml:space="preserve"> </w:t>
            </w:r>
            <w:r w:rsidRPr="002106A3">
              <w:rPr>
                <w:rFonts w:ascii="Poppins" w:hAnsi="Poppins" w:cs="Poppins"/>
              </w:rPr>
              <w:t>Rosebud Youth Hub enhancing access to youth mental health services, including targeted support for First Nations young people. Complementing this work, the Briars</w:t>
            </w:r>
            <w:r w:rsidR="009E18DF">
              <w:rPr>
                <w:rFonts w:ascii="Poppins" w:hAnsi="Poppins" w:cs="Poppins"/>
              </w:rPr>
              <w:t xml:space="preserve"> </w:t>
            </w:r>
            <w:proofErr w:type="spellStart"/>
            <w:r w:rsidRPr="002106A3">
              <w:rPr>
                <w:rFonts w:ascii="Poppins" w:hAnsi="Poppins" w:cs="Poppins"/>
              </w:rPr>
              <w:t>Ngawak</w:t>
            </w:r>
            <w:proofErr w:type="spellEnd"/>
            <w:r w:rsidR="009E18DF">
              <w:rPr>
                <w:rFonts w:ascii="Poppins" w:hAnsi="Poppins" w:cs="Poppins"/>
              </w:rPr>
              <w:t xml:space="preserve"> </w:t>
            </w:r>
            <w:proofErr w:type="spellStart"/>
            <w:r w:rsidRPr="002106A3">
              <w:rPr>
                <w:rFonts w:ascii="Poppins" w:hAnsi="Poppins" w:cs="Poppins"/>
              </w:rPr>
              <w:t>Biik</w:t>
            </w:r>
            <w:proofErr w:type="spellEnd"/>
            <w:r w:rsidR="009E18DF">
              <w:rPr>
                <w:rFonts w:ascii="Poppins" w:hAnsi="Poppins" w:cs="Poppins"/>
              </w:rPr>
              <w:t xml:space="preserve"> </w:t>
            </w:r>
            <w:r w:rsidRPr="002106A3">
              <w:rPr>
                <w:rFonts w:ascii="Poppins" w:hAnsi="Poppins" w:cs="Poppins"/>
              </w:rPr>
              <w:t>Junior Ranger Program continues to achieve strong outcomes by connecting Koorie primary and secondary students to Country through cultural learning, land</w:t>
            </w:r>
            <w:r w:rsidR="00652CD3">
              <w:rPr>
                <w:rFonts w:ascii="Poppins" w:hAnsi="Poppins" w:cs="Poppins"/>
              </w:rPr>
              <w:t xml:space="preserve"> </w:t>
            </w:r>
            <w:r w:rsidRPr="002106A3">
              <w:rPr>
                <w:rFonts w:ascii="Poppins" w:hAnsi="Poppins" w:cs="Poppins"/>
              </w:rPr>
              <w:t>management</w:t>
            </w:r>
            <w:r w:rsidR="00652CD3">
              <w:rPr>
                <w:rFonts w:ascii="Poppins" w:hAnsi="Poppins" w:cs="Poppins"/>
              </w:rPr>
              <w:t xml:space="preserve"> </w:t>
            </w:r>
            <w:r w:rsidRPr="002106A3">
              <w:rPr>
                <w:rFonts w:ascii="Poppins" w:hAnsi="Poppins" w:cs="Poppins"/>
              </w:rPr>
              <w:t>and</w:t>
            </w:r>
            <w:r w:rsidR="009D3624">
              <w:rPr>
                <w:rFonts w:ascii="Poppins" w:hAnsi="Poppins" w:cs="Poppins"/>
              </w:rPr>
              <w:t xml:space="preserve"> </w:t>
            </w:r>
            <w:r w:rsidRPr="002106A3">
              <w:rPr>
                <w:rFonts w:ascii="Poppins" w:hAnsi="Poppins" w:cs="Poppins"/>
              </w:rPr>
              <w:lastRenderedPageBreak/>
              <w:t>environmental stewardship. The program secured an</w:t>
            </w:r>
            <w:r w:rsidR="00652CD3">
              <w:rPr>
                <w:rFonts w:ascii="Poppins" w:hAnsi="Poppins" w:cs="Poppins"/>
              </w:rPr>
              <w:t xml:space="preserve"> </w:t>
            </w:r>
            <w:r w:rsidRPr="002106A3">
              <w:rPr>
                <w:rFonts w:ascii="Poppins" w:hAnsi="Poppins" w:cs="Poppins"/>
              </w:rPr>
              <w:t>additiona</w:t>
            </w:r>
            <w:r w:rsidR="00652CD3">
              <w:rPr>
                <w:rFonts w:ascii="Poppins" w:hAnsi="Poppins" w:cs="Poppins"/>
              </w:rPr>
              <w:t xml:space="preserve">l </w:t>
            </w:r>
            <w:r w:rsidRPr="002106A3">
              <w:rPr>
                <w:rFonts w:ascii="Poppins" w:hAnsi="Poppins" w:cs="Poppins"/>
              </w:rPr>
              <w:t>two years of federal funding in January 2026 and has received significant recognition, including a High Commendation in the 2026 Keep Australia Beautiful Tidy Town Awards and the</w:t>
            </w:r>
            <w:r w:rsidR="00652CD3">
              <w:rPr>
                <w:rFonts w:ascii="Poppins" w:hAnsi="Poppins" w:cs="Poppins"/>
              </w:rPr>
              <w:t xml:space="preserve"> </w:t>
            </w:r>
            <w:r w:rsidRPr="002106A3">
              <w:rPr>
                <w:rFonts w:ascii="Poppins" w:hAnsi="Poppins" w:cs="Poppins"/>
              </w:rPr>
              <w:t>LGPro</w:t>
            </w:r>
            <w:r w:rsidR="00652CD3">
              <w:rPr>
                <w:rFonts w:ascii="Poppins" w:hAnsi="Poppins" w:cs="Poppins"/>
              </w:rPr>
              <w:t xml:space="preserve"> </w:t>
            </w:r>
            <w:r w:rsidRPr="002106A3">
              <w:rPr>
                <w:rFonts w:ascii="Poppins" w:hAnsi="Poppins" w:cs="Poppins"/>
              </w:rPr>
              <w:t>Award for Excellence in the First Nations Community Partnership category.</w:t>
            </w:r>
          </w:p>
        </w:tc>
        <w:tc>
          <w:tcPr>
            <w:tcW w:w="1080" w:type="dxa"/>
            <w:shd w:val="clear" w:color="auto" w:fill="D6EBC4" w:themeFill="accent1" w:themeFillTint="66"/>
          </w:tcPr>
          <w:p w14:paraId="6E90D13F" w14:textId="1C38D3C8" w:rsidR="00D720A9" w:rsidRPr="002106A3" w:rsidRDefault="72BF75E2"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lastRenderedPageBreak/>
              <w:t>On track/</w:t>
            </w:r>
          </w:p>
          <w:p w14:paraId="20720AFD" w14:textId="1C782AAD" w:rsidR="00D720A9" w:rsidRPr="002106A3" w:rsidRDefault="72BF75E2"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Ongoing</w:t>
            </w:r>
          </w:p>
        </w:tc>
      </w:tr>
      <w:tr w:rsidR="00D720A9" w:rsidRPr="006949AB" w14:paraId="68B1305D" w14:textId="316B8B83" w:rsidTr="00B349FD">
        <w:trPr>
          <w:trHeight w:val="20"/>
        </w:trPr>
        <w:tc>
          <w:tcPr>
            <w:cnfStyle w:val="001000000000" w:firstRow="0" w:lastRow="0" w:firstColumn="1" w:lastColumn="0" w:oddVBand="0" w:evenVBand="0" w:oddHBand="0" w:evenHBand="0" w:firstRowFirstColumn="0" w:firstRowLastColumn="0" w:lastRowFirstColumn="0" w:lastRowLastColumn="0"/>
            <w:tcW w:w="2042" w:type="dxa"/>
            <w:vMerge w:val="restart"/>
            <w:shd w:val="clear" w:color="auto" w:fill="auto"/>
          </w:tcPr>
          <w:p w14:paraId="7558986A" w14:textId="78BBD99C" w:rsidR="00D720A9" w:rsidRPr="006949AB" w:rsidRDefault="00D720A9" w:rsidP="00D720A9">
            <w:pPr>
              <w:pStyle w:val="BodyText"/>
              <w:rPr>
                <w:rFonts w:ascii="Poppins" w:hAnsi="Poppins" w:cs="Poppins"/>
              </w:rPr>
            </w:pPr>
            <w:r>
              <w:rPr>
                <w:rFonts w:ascii="Poppins" w:hAnsi="Poppins" w:cs="Poppins"/>
              </w:rPr>
              <w:t xml:space="preserve">14 </w:t>
            </w:r>
            <w:r w:rsidRPr="007A041C">
              <w:rPr>
                <w:rFonts w:ascii="Poppins" w:hAnsi="Poppins" w:cs="Poppins"/>
              </w:rPr>
              <w:t>Provide culturally safe and accessible spaces</w:t>
            </w:r>
            <w:r w:rsidR="00213CFE">
              <w:rPr>
                <w:rFonts w:ascii="Poppins" w:hAnsi="Poppins" w:cs="Poppins"/>
              </w:rPr>
              <w:t xml:space="preserve"> </w:t>
            </w:r>
            <w:r w:rsidRPr="007A041C">
              <w:rPr>
                <w:rFonts w:ascii="Poppins" w:hAnsi="Poppins" w:cs="Poppins"/>
              </w:rPr>
              <w:t>for Aboriginal and Torres Strait Islander peoples who live and visit the Shire. * </w:t>
            </w:r>
          </w:p>
        </w:tc>
        <w:tc>
          <w:tcPr>
            <w:tcW w:w="3027" w:type="dxa"/>
            <w:shd w:val="clear" w:color="auto" w:fill="auto"/>
          </w:tcPr>
          <w:p w14:paraId="2D204CA3" w14:textId="004AD83C" w:rsidR="00D720A9" w:rsidRPr="00452C5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14.1 </w:t>
            </w:r>
            <w:r w:rsidRPr="00452C59">
              <w:rPr>
                <w:rFonts w:ascii="Poppins" w:hAnsi="Poppins" w:cs="Poppins"/>
              </w:rPr>
              <w:t>Investigate more locally accessible specific spaces for Aboriginal and Torres Strait Islander people.</w:t>
            </w:r>
            <w:r w:rsidR="00213CFE">
              <w:rPr>
                <w:rFonts w:ascii="Poppins" w:hAnsi="Poppins" w:cs="Poppins"/>
              </w:rPr>
              <w:t xml:space="preserve"> </w:t>
            </w:r>
            <w:r w:rsidRPr="00452C59">
              <w:rPr>
                <w:rFonts w:ascii="Poppins" w:hAnsi="Poppins" w:cs="Poppins"/>
              </w:rPr>
              <w:t>Including options for Gathering places, business</w:t>
            </w:r>
            <w:r w:rsidR="00213CFE">
              <w:rPr>
                <w:rFonts w:ascii="Poppins" w:hAnsi="Poppins" w:cs="Poppins"/>
              </w:rPr>
              <w:t xml:space="preserve"> </w:t>
            </w:r>
            <w:r w:rsidRPr="00452C59">
              <w:rPr>
                <w:rFonts w:ascii="Poppins" w:hAnsi="Poppins" w:cs="Poppins"/>
              </w:rPr>
              <w:t>hubs</w:t>
            </w:r>
            <w:r w:rsidR="00213CFE">
              <w:rPr>
                <w:rFonts w:ascii="Poppins" w:hAnsi="Poppins" w:cs="Poppins"/>
              </w:rPr>
              <w:t xml:space="preserve"> </w:t>
            </w:r>
            <w:r w:rsidRPr="00452C59">
              <w:rPr>
                <w:rFonts w:ascii="Poppins" w:hAnsi="Poppins" w:cs="Poppins"/>
              </w:rPr>
              <w:t>and cultural centres.</w:t>
            </w:r>
          </w:p>
          <w:p w14:paraId="62DC0B0C" w14:textId="4B28CE26" w:rsidR="00D720A9"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3573" w:type="dxa"/>
            <w:shd w:val="clear" w:color="auto" w:fill="FFFFFF" w:themeFill="background1"/>
          </w:tcPr>
          <w:p w14:paraId="2EA0C4F8" w14:textId="005E5E59" w:rsidR="00D720A9" w:rsidRPr="001A59ED" w:rsidRDefault="00D720A9" w:rsidP="00D720A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F04C9D">
              <w:rPr>
                <w:rFonts w:ascii="Poppins" w:hAnsi="Poppins" w:cs="Poppins"/>
              </w:rPr>
              <w:t>The First Nations Officer</w:t>
            </w:r>
            <w:r w:rsidR="00213CFE">
              <w:rPr>
                <w:rFonts w:ascii="Poppins" w:hAnsi="Poppins" w:cs="Poppins"/>
              </w:rPr>
              <w:t xml:space="preserve"> </w:t>
            </w:r>
            <w:r w:rsidRPr="00F04C9D">
              <w:rPr>
                <w:rFonts w:ascii="Poppins" w:hAnsi="Poppins" w:cs="Poppins"/>
              </w:rPr>
              <w:t>facilitated</w:t>
            </w:r>
            <w:r w:rsidR="00213CFE">
              <w:rPr>
                <w:rFonts w:ascii="Poppins" w:hAnsi="Poppins" w:cs="Poppins"/>
              </w:rPr>
              <w:t xml:space="preserve"> </w:t>
            </w:r>
            <w:r w:rsidRPr="00F04C9D">
              <w:rPr>
                <w:rFonts w:ascii="Poppins" w:hAnsi="Poppins" w:cs="Poppins"/>
              </w:rPr>
              <w:t>a meeting between Infrastructure and Open Space Planning and Willum Warrain to explore opportunities for the use of spaces within the proposed Dromana Community Hub. While there are currently no new infrastructure projects under discussion, work is underway to</w:t>
            </w:r>
            <w:r w:rsidR="00213CFE">
              <w:rPr>
                <w:rFonts w:ascii="Poppins" w:hAnsi="Poppins" w:cs="Poppins"/>
              </w:rPr>
              <w:t xml:space="preserve"> </w:t>
            </w:r>
            <w:r w:rsidRPr="00F04C9D">
              <w:rPr>
                <w:rFonts w:ascii="Poppins" w:hAnsi="Poppins" w:cs="Poppins"/>
              </w:rPr>
              <w:t>identify</w:t>
            </w:r>
            <w:r w:rsidR="00213CFE">
              <w:rPr>
                <w:rFonts w:ascii="Poppins" w:hAnsi="Poppins" w:cs="Poppins"/>
              </w:rPr>
              <w:t xml:space="preserve"> </w:t>
            </w:r>
            <w:r w:rsidRPr="00F04C9D">
              <w:rPr>
                <w:rFonts w:ascii="Poppins" w:hAnsi="Poppins" w:cs="Poppins"/>
              </w:rPr>
              <w:t>and develop a list of culturally safe and</w:t>
            </w:r>
            <w:r w:rsidR="00213CFE">
              <w:rPr>
                <w:rFonts w:ascii="Poppins" w:hAnsi="Poppins" w:cs="Poppins"/>
              </w:rPr>
              <w:t xml:space="preserve"> </w:t>
            </w:r>
            <w:r w:rsidRPr="00F04C9D">
              <w:rPr>
                <w:rFonts w:ascii="Poppins" w:hAnsi="Poppins" w:cs="Poppins"/>
              </w:rPr>
              <w:t>appropriate venues</w:t>
            </w:r>
            <w:r w:rsidR="00213CFE">
              <w:rPr>
                <w:rFonts w:ascii="Poppins" w:hAnsi="Poppins" w:cs="Poppins"/>
              </w:rPr>
              <w:t xml:space="preserve"> </w:t>
            </w:r>
            <w:r w:rsidRPr="00F04C9D">
              <w:rPr>
                <w:rFonts w:ascii="Poppins" w:hAnsi="Poppins" w:cs="Poppins"/>
              </w:rPr>
              <w:t>across the Shire to support First Nations events,</w:t>
            </w:r>
            <w:r w:rsidR="00213CFE">
              <w:rPr>
                <w:rFonts w:ascii="Poppins" w:hAnsi="Poppins" w:cs="Poppins"/>
              </w:rPr>
              <w:t xml:space="preserve"> </w:t>
            </w:r>
            <w:r w:rsidRPr="00F04C9D">
              <w:rPr>
                <w:rFonts w:ascii="Poppins" w:hAnsi="Poppins" w:cs="Poppins"/>
              </w:rPr>
              <w:t>gatherings</w:t>
            </w:r>
            <w:r w:rsidR="00213CFE">
              <w:rPr>
                <w:rFonts w:ascii="Poppins" w:hAnsi="Poppins" w:cs="Poppins"/>
              </w:rPr>
              <w:t xml:space="preserve"> </w:t>
            </w:r>
            <w:r w:rsidRPr="00F04C9D">
              <w:rPr>
                <w:rFonts w:ascii="Poppins" w:hAnsi="Poppins" w:cs="Poppins"/>
              </w:rPr>
              <w:t>and community activities.</w:t>
            </w:r>
          </w:p>
        </w:tc>
        <w:tc>
          <w:tcPr>
            <w:tcW w:w="1080" w:type="dxa"/>
            <w:shd w:val="clear" w:color="auto" w:fill="D6EBC4" w:themeFill="accent1" w:themeFillTint="66"/>
          </w:tcPr>
          <w:p w14:paraId="05D3F291" w14:textId="283A6B07" w:rsidR="00D720A9" w:rsidRPr="00F04C9D" w:rsidRDefault="7917D0E4" w:rsidP="00D720A9">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D720A9" w:rsidRPr="006949AB" w14:paraId="0E64EAA6" w14:textId="45542A75" w:rsidTr="00B349FD">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2" w:type="dxa"/>
            <w:vMerge/>
          </w:tcPr>
          <w:p w14:paraId="50605174" w14:textId="77777777" w:rsidR="00D720A9" w:rsidRPr="006949AB" w:rsidRDefault="00D720A9" w:rsidP="00D720A9">
            <w:pPr>
              <w:pStyle w:val="BodyText"/>
              <w:rPr>
                <w:rFonts w:ascii="Poppins" w:hAnsi="Poppins" w:cs="Poppins"/>
              </w:rPr>
            </w:pPr>
          </w:p>
        </w:tc>
        <w:tc>
          <w:tcPr>
            <w:tcW w:w="3027" w:type="dxa"/>
            <w:shd w:val="clear" w:color="auto" w:fill="auto"/>
          </w:tcPr>
          <w:p w14:paraId="1A21B845" w14:textId="7418BE00" w:rsidR="00D720A9"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14.2 </w:t>
            </w:r>
            <w:r w:rsidRPr="000332BE">
              <w:rPr>
                <w:rFonts w:ascii="Poppins" w:hAnsi="Poppins" w:cs="Poppins"/>
              </w:rPr>
              <w:t>Investigate the reinvigoration of cultural spaces within the municipality providing opportunities for cultural education.  </w:t>
            </w:r>
          </w:p>
        </w:tc>
        <w:tc>
          <w:tcPr>
            <w:tcW w:w="3573" w:type="dxa"/>
            <w:shd w:val="clear" w:color="auto" w:fill="FFFFFF" w:themeFill="background1"/>
          </w:tcPr>
          <w:p w14:paraId="1AA6DC7A" w14:textId="66117130" w:rsidR="00D720A9" w:rsidRPr="001A59ED" w:rsidRDefault="00D720A9" w:rsidP="00D720A9">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BB7BFA">
              <w:rPr>
                <w:rFonts w:ascii="Poppins" w:hAnsi="Poppins" w:cs="Poppins"/>
              </w:rPr>
              <w:t>The delivery of the</w:t>
            </w:r>
            <w:r w:rsidR="00213CFE">
              <w:rPr>
                <w:rFonts w:ascii="Poppins" w:hAnsi="Poppins" w:cs="Poppins"/>
              </w:rPr>
              <w:t xml:space="preserve"> </w:t>
            </w:r>
            <w:proofErr w:type="spellStart"/>
            <w:r w:rsidRPr="00BB7BFA">
              <w:rPr>
                <w:rFonts w:ascii="Poppins" w:hAnsi="Poppins" w:cs="Poppins"/>
              </w:rPr>
              <w:t>Ngawak</w:t>
            </w:r>
            <w:proofErr w:type="spellEnd"/>
            <w:r w:rsidR="00213CFE">
              <w:rPr>
                <w:rFonts w:ascii="Poppins" w:hAnsi="Poppins" w:cs="Poppins"/>
              </w:rPr>
              <w:t xml:space="preserve"> </w:t>
            </w:r>
            <w:proofErr w:type="spellStart"/>
            <w:r w:rsidRPr="00BB7BFA">
              <w:rPr>
                <w:rFonts w:ascii="Poppins" w:hAnsi="Poppins" w:cs="Poppins"/>
              </w:rPr>
              <w:t>Biik</w:t>
            </w:r>
            <w:proofErr w:type="spellEnd"/>
            <w:r w:rsidR="00213CFE">
              <w:rPr>
                <w:rFonts w:ascii="Poppins" w:hAnsi="Poppins" w:cs="Poppins"/>
              </w:rPr>
              <w:t xml:space="preserve"> </w:t>
            </w:r>
            <w:r w:rsidRPr="00BB7BFA">
              <w:rPr>
                <w:rFonts w:ascii="Poppins" w:hAnsi="Poppins" w:cs="Poppins"/>
              </w:rPr>
              <w:t>Junior Ranger Program at the Briars continues to achieve strong outcomes by connecting Koorie primary and secondary students to Country through cultural learning, land</w:t>
            </w:r>
            <w:r w:rsidR="00213CFE">
              <w:rPr>
                <w:rFonts w:ascii="Poppins" w:hAnsi="Poppins" w:cs="Poppins"/>
              </w:rPr>
              <w:t xml:space="preserve"> </w:t>
            </w:r>
            <w:r w:rsidRPr="00BB7BFA">
              <w:rPr>
                <w:rFonts w:ascii="Poppins" w:hAnsi="Poppins" w:cs="Poppins"/>
              </w:rPr>
              <w:t>management</w:t>
            </w:r>
            <w:r w:rsidR="00213CFE">
              <w:rPr>
                <w:rFonts w:ascii="Poppins" w:hAnsi="Poppins" w:cs="Poppins"/>
              </w:rPr>
              <w:t xml:space="preserve"> </w:t>
            </w:r>
            <w:r w:rsidRPr="00BB7BFA">
              <w:rPr>
                <w:rFonts w:ascii="Poppins" w:hAnsi="Poppins" w:cs="Poppins"/>
              </w:rPr>
              <w:t>and environmental stewardship.</w:t>
            </w:r>
            <w:r w:rsidR="00213CFE">
              <w:rPr>
                <w:rFonts w:ascii="Poppins" w:hAnsi="Poppins" w:cs="Poppins"/>
              </w:rPr>
              <w:t xml:space="preserve"> </w:t>
            </w:r>
            <w:r w:rsidRPr="00BB7BFA">
              <w:rPr>
                <w:rFonts w:ascii="Poppins" w:hAnsi="Poppins" w:cs="Poppins"/>
              </w:rPr>
              <w:t>The young people are connecting to the Briars and Police Point, both significant sites for First Nations People.</w:t>
            </w:r>
            <w:r w:rsidR="00213CFE">
              <w:rPr>
                <w:rFonts w:ascii="Poppins" w:hAnsi="Poppins" w:cs="Poppins"/>
              </w:rPr>
              <w:t xml:space="preserve"> </w:t>
            </w:r>
            <w:r w:rsidRPr="00BB7BFA">
              <w:rPr>
                <w:rFonts w:ascii="Poppins" w:hAnsi="Poppins" w:cs="Poppins"/>
              </w:rPr>
              <w:t>Design of education and interpretation elements</w:t>
            </w:r>
            <w:r w:rsidR="00213CFE">
              <w:rPr>
                <w:rFonts w:ascii="Poppins" w:hAnsi="Poppins" w:cs="Poppins"/>
              </w:rPr>
              <w:t xml:space="preserve"> </w:t>
            </w:r>
            <w:r w:rsidRPr="00BB7BFA">
              <w:rPr>
                <w:rFonts w:ascii="Poppins" w:hAnsi="Poppins" w:cs="Poppins"/>
              </w:rPr>
              <w:t>for the Briars Sanctuary expansion has</w:t>
            </w:r>
            <w:r w:rsidR="00213CFE">
              <w:rPr>
                <w:rFonts w:ascii="Poppins" w:hAnsi="Poppins" w:cs="Poppins"/>
              </w:rPr>
              <w:t xml:space="preserve"> </w:t>
            </w:r>
            <w:r w:rsidRPr="00BB7BFA">
              <w:rPr>
                <w:rFonts w:ascii="Poppins" w:hAnsi="Poppins" w:cs="Poppins"/>
              </w:rPr>
              <w:t>commenced. This is being completed in collaboration with the BLC who have given their support and resources to the project. </w:t>
            </w:r>
          </w:p>
        </w:tc>
        <w:tc>
          <w:tcPr>
            <w:tcW w:w="1080" w:type="dxa"/>
            <w:shd w:val="clear" w:color="auto" w:fill="D6EBC4" w:themeFill="accent1" w:themeFillTint="66"/>
          </w:tcPr>
          <w:p w14:paraId="48EDAEC2" w14:textId="10872030" w:rsidR="00D720A9" w:rsidRPr="00BB7BFA" w:rsidRDefault="18275A8C" w:rsidP="00D720A9">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Ongoing</w:t>
            </w:r>
          </w:p>
        </w:tc>
      </w:tr>
    </w:tbl>
    <w:p w14:paraId="291894C3" w14:textId="3E0EB6CC" w:rsidR="00DF22A0" w:rsidRDefault="00DF22A0" w:rsidP="00D71F36"/>
    <w:p w14:paraId="6AE0CE97" w14:textId="77777777" w:rsidR="00DF22A0" w:rsidRDefault="00DF22A0" w:rsidP="00D71F36"/>
    <w:p w14:paraId="4C52C85D" w14:textId="77777777" w:rsidR="00C8175D" w:rsidRDefault="00C8175D" w:rsidP="00D71F36"/>
    <w:p w14:paraId="3045D9D5" w14:textId="77777777" w:rsidR="00C8175D" w:rsidRDefault="00C8175D" w:rsidP="00D71F36"/>
    <w:p w14:paraId="7DC2F219" w14:textId="77777777" w:rsidR="00C8175D" w:rsidRDefault="00C8175D" w:rsidP="00D71F36"/>
    <w:tbl>
      <w:tblPr>
        <w:tblStyle w:val="TableGrid"/>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2798"/>
        <w:gridCol w:w="3811"/>
        <w:gridCol w:w="1050"/>
      </w:tblGrid>
      <w:tr w:rsidR="00C30198" w:rsidRPr="006949AB" w14:paraId="14601430" w14:textId="07B722DE" w:rsidTr="139CF35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91" w:type="dxa"/>
            <w:gridSpan w:val="4"/>
            <w:shd w:val="clear" w:color="auto" w:fill="auto"/>
          </w:tcPr>
          <w:p w14:paraId="17C1471D" w14:textId="415AAE18" w:rsidR="00C30198" w:rsidRPr="004369E5" w:rsidRDefault="00C30198" w:rsidP="00732384">
            <w:pPr>
              <w:pStyle w:val="BodyText"/>
              <w:rPr>
                <w:rFonts w:ascii="Poppins" w:hAnsi="Poppins" w:cs="Poppins"/>
                <w:bCs/>
                <w:sz w:val="24"/>
                <w:szCs w:val="24"/>
              </w:rPr>
            </w:pPr>
            <w:r w:rsidRPr="004369E5">
              <w:rPr>
                <w:rFonts w:ascii="Poppins" w:hAnsi="Poppins" w:cs="Poppins"/>
                <w:bCs/>
                <w:color w:val="auto"/>
                <w:sz w:val="24"/>
                <w:szCs w:val="24"/>
              </w:rPr>
              <w:lastRenderedPageBreak/>
              <w:t>Governance</w:t>
            </w:r>
          </w:p>
        </w:tc>
      </w:tr>
      <w:tr w:rsidR="00C30198" w:rsidRPr="006949AB" w14:paraId="5FC7262D" w14:textId="77777777"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tcBorders>
              <w:bottom w:val="single" w:sz="4" w:space="0" w:color="auto"/>
            </w:tcBorders>
            <w:shd w:val="clear" w:color="auto" w:fill="auto"/>
          </w:tcPr>
          <w:p w14:paraId="62A323C6" w14:textId="467B5950" w:rsidR="00C30198" w:rsidRDefault="00C30198" w:rsidP="00C30198">
            <w:pPr>
              <w:pStyle w:val="BodyText"/>
              <w:rPr>
                <w:rFonts w:ascii="Poppins" w:hAnsi="Poppins" w:cs="Poppins"/>
              </w:rPr>
            </w:pPr>
            <w:r>
              <w:rPr>
                <w:rFonts w:ascii="Poppins" w:hAnsi="Poppins" w:cs="Poppins"/>
                <w:bCs/>
              </w:rPr>
              <w:t>Action</w:t>
            </w:r>
          </w:p>
        </w:tc>
        <w:tc>
          <w:tcPr>
            <w:tcW w:w="2798" w:type="dxa"/>
            <w:tcBorders>
              <w:bottom w:val="single" w:sz="4" w:space="0" w:color="auto"/>
            </w:tcBorders>
            <w:shd w:val="clear" w:color="auto" w:fill="auto"/>
          </w:tcPr>
          <w:p w14:paraId="27A05B57" w14:textId="051E1C8C" w:rsidR="00C30198" w:rsidRDefault="00C30198" w:rsidP="00C30198">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bCs/>
              </w:rPr>
              <w:t>Deliverable</w:t>
            </w:r>
          </w:p>
        </w:tc>
        <w:tc>
          <w:tcPr>
            <w:tcW w:w="3811" w:type="dxa"/>
            <w:tcBorders>
              <w:bottom w:val="single" w:sz="4" w:space="0" w:color="auto"/>
            </w:tcBorders>
            <w:shd w:val="clear" w:color="auto" w:fill="auto"/>
          </w:tcPr>
          <w:p w14:paraId="4DDCEE79" w14:textId="6F39C919" w:rsidR="00C30198" w:rsidRPr="00FD3B82" w:rsidRDefault="00C30198" w:rsidP="00C30198">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949AB">
              <w:rPr>
                <w:rFonts w:ascii="Poppins" w:hAnsi="Poppins" w:cs="Poppins"/>
                <w:bCs/>
              </w:rPr>
              <w:t>Annual Report</w:t>
            </w:r>
          </w:p>
        </w:tc>
        <w:tc>
          <w:tcPr>
            <w:tcW w:w="1050" w:type="dxa"/>
            <w:tcBorders>
              <w:bottom w:val="single" w:sz="4" w:space="0" w:color="auto"/>
            </w:tcBorders>
            <w:shd w:val="clear" w:color="auto" w:fill="auto"/>
          </w:tcPr>
          <w:p w14:paraId="2FB577F1" w14:textId="16E4C4A9" w:rsidR="00C30198" w:rsidRPr="00FD3B82" w:rsidRDefault="00C30198" w:rsidP="00C30198">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bCs/>
              </w:rPr>
              <w:t>Status</w:t>
            </w:r>
          </w:p>
        </w:tc>
      </w:tr>
      <w:tr w:rsidR="0061013E" w:rsidRPr="006949AB" w14:paraId="4668D1E6" w14:textId="20AAC892"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val="restart"/>
            <w:tcBorders>
              <w:bottom w:val="single" w:sz="4" w:space="0" w:color="auto"/>
            </w:tcBorders>
            <w:shd w:val="clear" w:color="auto" w:fill="auto"/>
            <w:hideMark/>
          </w:tcPr>
          <w:p w14:paraId="69EC0EA6" w14:textId="6CB3B9CD" w:rsidR="0061013E" w:rsidRPr="006949AB" w:rsidRDefault="0061013E" w:rsidP="008614D2">
            <w:pPr>
              <w:pStyle w:val="BodyText"/>
              <w:rPr>
                <w:rFonts w:ascii="Poppins" w:hAnsi="Poppins" w:cs="Poppins"/>
              </w:rPr>
            </w:pPr>
            <w:r>
              <w:rPr>
                <w:rFonts w:ascii="Poppins" w:hAnsi="Poppins" w:cs="Poppins"/>
              </w:rPr>
              <w:t>15</w:t>
            </w:r>
            <w:r w:rsidRPr="006949AB">
              <w:rPr>
                <w:rFonts w:ascii="Poppins" w:hAnsi="Poppins" w:cs="Poppins"/>
              </w:rPr>
              <w:t xml:space="preserve"> </w:t>
            </w:r>
            <w:r w:rsidRPr="007B6F87">
              <w:rPr>
                <w:rFonts w:ascii="Poppins" w:hAnsi="Poppins" w:cs="Poppins"/>
              </w:rPr>
              <w:t>Establish and</w:t>
            </w:r>
            <w:r w:rsidR="00A20CA7">
              <w:rPr>
                <w:rFonts w:ascii="Poppins" w:hAnsi="Poppins" w:cs="Poppins"/>
              </w:rPr>
              <w:t xml:space="preserve"> </w:t>
            </w:r>
            <w:r w:rsidRPr="007B6F87">
              <w:rPr>
                <w:rFonts w:ascii="Poppins" w:hAnsi="Poppins" w:cs="Poppins"/>
              </w:rPr>
              <w:t>maintain an effective RAP Working group (RWG) to drive governance of the RAP.</w:t>
            </w:r>
          </w:p>
        </w:tc>
        <w:tc>
          <w:tcPr>
            <w:tcW w:w="2798" w:type="dxa"/>
            <w:tcBorders>
              <w:bottom w:val="single" w:sz="4" w:space="0" w:color="auto"/>
            </w:tcBorders>
            <w:shd w:val="clear" w:color="auto" w:fill="auto"/>
            <w:hideMark/>
          </w:tcPr>
          <w:p w14:paraId="1FFAE0BE" w14:textId="449F07AC"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15</w:t>
            </w:r>
            <w:r w:rsidRPr="006949AB">
              <w:rPr>
                <w:rFonts w:ascii="Poppins" w:hAnsi="Poppins" w:cs="Poppins"/>
              </w:rPr>
              <w:t xml:space="preserve">.1 </w:t>
            </w:r>
            <w:r w:rsidRPr="009E117D">
              <w:rPr>
                <w:rFonts w:ascii="Poppins" w:hAnsi="Poppins" w:cs="Poppins"/>
              </w:rPr>
              <w:t>Maintain Aboriginal and Torres Strait Islander representation on the RWG.</w:t>
            </w:r>
          </w:p>
        </w:tc>
        <w:tc>
          <w:tcPr>
            <w:tcW w:w="3811" w:type="dxa"/>
            <w:tcBorders>
              <w:bottom w:val="single" w:sz="4" w:space="0" w:color="auto"/>
            </w:tcBorders>
            <w:shd w:val="clear" w:color="auto" w:fill="FFFFFF" w:themeFill="background1"/>
            <w:hideMark/>
          </w:tcPr>
          <w:p w14:paraId="0883E159" w14:textId="25E9062B"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FD3B82">
              <w:rPr>
                <w:rFonts w:ascii="Poppins" w:hAnsi="Poppins" w:cs="Poppins"/>
              </w:rPr>
              <w:t>The First Nations Officer has extended an open invitation to staff involved in the Junior Ranger Program to</w:t>
            </w:r>
            <w:r w:rsidR="00413B93">
              <w:rPr>
                <w:rFonts w:ascii="Poppins" w:hAnsi="Poppins" w:cs="Poppins"/>
              </w:rPr>
              <w:t xml:space="preserve"> </w:t>
            </w:r>
            <w:r w:rsidRPr="00FD3B82">
              <w:rPr>
                <w:rFonts w:ascii="Poppins" w:hAnsi="Poppins" w:cs="Poppins"/>
              </w:rPr>
              <w:t>participate</w:t>
            </w:r>
            <w:r w:rsidR="00413B93">
              <w:rPr>
                <w:rFonts w:ascii="Poppins" w:hAnsi="Poppins" w:cs="Poppins"/>
              </w:rPr>
              <w:t xml:space="preserve"> </w:t>
            </w:r>
            <w:r w:rsidRPr="00FD3B82">
              <w:rPr>
                <w:rFonts w:ascii="Poppins" w:hAnsi="Poppins" w:cs="Poppins"/>
              </w:rPr>
              <w:t>in RAP Working Group meetings. While this opportunity has not been taken up to date, this approach recognises and respects existing workloads and cultural responsibilities, with ongoing opportunities for participation</w:t>
            </w:r>
            <w:r w:rsidR="00413B93">
              <w:rPr>
                <w:rFonts w:ascii="Poppins" w:hAnsi="Poppins" w:cs="Poppins"/>
              </w:rPr>
              <w:t xml:space="preserve"> </w:t>
            </w:r>
            <w:r w:rsidRPr="00FD3B82">
              <w:rPr>
                <w:rFonts w:ascii="Poppins" w:hAnsi="Poppins" w:cs="Poppins"/>
              </w:rPr>
              <w:t>remaining</w:t>
            </w:r>
            <w:r w:rsidR="00413B93">
              <w:rPr>
                <w:rFonts w:ascii="Poppins" w:hAnsi="Poppins" w:cs="Poppins"/>
              </w:rPr>
              <w:t xml:space="preserve"> </w:t>
            </w:r>
            <w:r w:rsidRPr="00FD3B82">
              <w:rPr>
                <w:rFonts w:ascii="Poppins" w:hAnsi="Poppins" w:cs="Poppins"/>
              </w:rPr>
              <w:t>available. </w:t>
            </w:r>
          </w:p>
        </w:tc>
        <w:tc>
          <w:tcPr>
            <w:tcW w:w="1050" w:type="dxa"/>
            <w:tcBorders>
              <w:bottom w:val="single" w:sz="4" w:space="0" w:color="auto"/>
            </w:tcBorders>
            <w:shd w:val="clear" w:color="auto" w:fill="FFE8BC" w:themeFill="accent3" w:themeFillTint="66"/>
          </w:tcPr>
          <w:p w14:paraId="52DD4F52" w14:textId="5FACCEEE" w:rsidR="0061013E" w:rsidRPr="00FD3B82" w:rsidRDefault="14738FDC"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61013E" w:rsidRPr="006949AB" w14:paraId="77C3C1AF" w14:textId="18652D13"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hideMark/>
          </w:tcPr>
          <w:p w14:paraId="49313EA6" w14:textId="77777777" w:rsidR="0061013E" w:rsidRPr="006949AB" w:rsidRDefault="0061013E" w:rsidP="008614D2">
            <w:pPr>
              <w:pStyle w:val="BodyText"/>
              <w:rPr>
                <w:rFonts w:ascii="Poppins" w:hAnsi="Poppins" w:cs="Poppins"/>
              </w:rPr>
            </w:pPr>
          </w:p>
        </w:tc>
        <w:tc>
          <w:tcPr>
            <w:tcW w:w="2798" w:type="dxa"/>
            <w:tcBorders>
              <w:bottom w:val="single" w:sz="4" w:space="0" w:color="auto"/>
            </w:tcBorders>
            <w:shd w:val="clear" w:color="auto" w:fill="auto"/>
            <w:hideMark/>
          </w:tcPr>
          <w:p w14:paraId="013D4CA9" w14:textId="656490B6"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15.</w:t>
            </w:r>
            <w:r w:rsidRPr="006949AB">
              <w:rPr>
                <w:rFonts w:ascii="Poppins" w:hAnsi="Poppins" w:cs="Poppins"/>
              </w:rPr>
              <w:t xml:space="preserve">2 </w:t>
            </w:r>
            <w:r w:rsidRPr="007F1F99">
              <w:rPr>
                <w:rFonts w:ascii="Poppins" w:hAnsi="Poppins" w:cs="Poppins"/>
              </w:rPr>
              <w:t>Establish and apply a Terms of Reference for the RWG. </w:t>
            </w:r>
          </w:p>
        </w:tc>
        <w:tc>
          <w:tcPr>
            <w:tcW w:w="3811" w:type="dxa"/>
            <w:tcBorders>
              <w:bottom w:val="single" w:sz="4" w:space="0" w:color="auto"/>
            </w:tcBorders>
            <w:shd w:val="clear" w:color="auto" w:fill="FFFFFF" w:themeFill="background1"/>
            <w:hideMark/>
          </w:tcPr>
          <w:p w14:paraId="0BD14EAC" w14:textId="7B4C7B57"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B4569">
              <w:rPr>
                <w:rFonts w:ascii="Poppins" w:hAnsi="Poppins" w:cs="Poppins"/>
              </w:rPr>
              <w:t>The RAP Working Group’s TOR</w:t>
            </w:r>
            <w:r w:rsidR="00A20CA7">
              <w:rPr>
                <w:rFonts w:ascii="Poppins" w:hAnsi="Poppins" w:cs="Poppins"/>
              </w:rPr>
              <w:t xml:space="preserve"> </w:t>
            </w:r>
            <w:r w:rsidRPr="002B4569">
              <w:rPr>
                <w:rFonts w:ascii="Poppins" w:hAnsi="Poppins" w:cs="Poppins"/>
              </w:rPr>
              <w:t>was completed and endorsed</w:t>
            </w:r>
            <w:r w:rsidR="00A20CA7">
              <w:rPr>
                <w:rFonts w:ascii="Poppins" w:hAnsi="Poppins" w:cs="Poppins"/>
              </w:rPr>
              <w:t xml:space="preserve"> </w:t>
            </w:r>
            <w:r w:rsidRPr="002B4569">
              <w:rPr>
                <w:rFonts w:ascii="Poppins" w:hAnsi="Poppins" w:cs="Poppins"/>
              </w:rPr>
              <w:t>in 2025. It is being utilised</w:t>
            </w:r>
            <w:r w:rsidR="00A20CA7">
              <w:rPr>
                <w:rFonts w:ascii="Poppins" w:hAnsi="Poppins" w:cs="Poppins"/>
              </w:rPr>
              <w:t xml:space="preserve"> </w:t>
            </w:r>
            <w:r w:rsidRPr="002B4569">
              <w:rPr>
                <w:rFonts w:ascii="Poppins" w:hAnsi="Poppins" w:cs="Poppins"/>
              </w:rPr>
              <w:t>to ensure smooth operating of the</w:t>
            </w:r>
            <w:r w:rsidR="00A20CA7">
              <w:rPr>
                <w:rFonts w:ascii="Poppins" w:hAnsi="Poppins" w:cs="Poppins"/>
              </w:rPr>
              <w:t xml:space="preserve"> </w:t>
            </w:r>
            <w:r w:rsidRPr="002B4569">
              <w:rPr>
                <w:rFonts w:ascii="Poppins" w:hAnsi="Poppins" w:cs="Poppins"/>
              </w:rPr>
              <w:t>RAP Working Group meetings.</w:t>
            </w:r>
          </w:p>
        </w:tc>
        <w:tc>
          <w:tcPr>
            <w:tcW w:w="1050" w:type="dxa"/>
            <w:tcBorders>
              <w:bottom w:val="single" w:sz="4" w:space="0" w:color="auto"/>
            </w:tcBorders>
            <w:shd w:val="clear" w:color="auto" w:fill="D6EBC4" w:themeFill="accent1" w:themeFillTint="66"/>
          </w:tcPr>
          <w:p w14:paraId="7C7EFC14" w14:textId="4D403B83" w:rsidR="0061013E" w:rsidRPr="002B4569" w:rsidRDefault="6F6983AC"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Complete</w:t>
            </w:r>
          </w:p>
        </w:tc>
      </w:tr>
      <w:tr w:rsidR="0061013E" w:rsidRPr="006949AB" w14:paraId="481D2A7C" w14:textId="6A244BCD"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7402F0B8" w14:textId="77777777" w:rsidR="0061013E" w:rsidRPr="006949AB" w:rsidRDefault="0061013E" w:rsidP="008614D2">
            <w:pPr>
              <w:pStyle w:val="BodyText"/>
              <w:rPr>
                <w:rFonts w:ascii="Poppins" w:hAnsi="Poppins" w:cs="Poppins"/>
              </w:rPr>
            </w:pPr>
          </w:p>
        </w:tc>
        <w:tc>
          <w:tcPr>
            <w:tcW w:w="2798" w:type="dxa"/>
            <w:shd w:val="clear" w:color="auto" w:fill="auto"/>
          </w:tcPr>
          <w:p w14:paraId="2FD9A573" w14:textId="0E1E7495"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15.3 </w:t>
            </w:r>
            <w:r w:rsidRPr="00D13603">
              <w:rPr>
                <w:rFonts w:ascii="Poppins" w:hAnsi="Poppins" w:cs="Poppins"/>
              </w:rPr>
              <w:t>Meet at least four times per year to drive and</w:t>
            </w:r>
            <w:r w:rsidR="00C8175D">
              <w:rPr>
                <w:rFonts w:ascii="Poppins" w:hAnsi="Poppins" w:cs="Poppins"/>
              </w:rPr>
              <w:t xml:space="preserve"> </w:t>
            </w:r>
            <w:r w:rsidRPr="00D13603">
              <w:rPr>
                <w:rFonts w:ascii="Poppins" w:hAnsi="Poppins" w:cs="Poppins"/>
              </w:rPr>
              <w:t>monitor</w:t>
            </w:r>
            <w:r w:rsidR="00C8175D">
              <w:rPr>
                <w:rFonts w:ascii="Poppins" w:hAnsi="Poppins" w:cs="Poppins"/>
              </w:rPr>
              <w:t xml:space="preserve"> </w:t>
            </w:r>
            <w:r w:rsidRPr="00D13603">
              <w:rPr>
                <w:rFonts w:ascii="Poppins" w:hAnsi="Poppins" w:cs="Poppins"/>
              </w:rPr>
              <w:t>RAP implementation. </w:t>
            </w:r>
          </w:p>
        </w:tc>
        <w:tc>
          <w:tcPr>
            <w:tcW w:w="3811" w:type="dxa"/>
            <w:shd w:val="clear" w:color="auto" w:fill="FFFFFF" w:themeFill="background1"/>
          </w:tcPr>
          <w:p w14:paraId="4BAD081D" w14:textId="1450D01C"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0A0F20">
              <w:rPr>
                <w:rFonts w:ascii="Poppins" w:hAnsi="Poppins" w:cs="Poppins"/>
              </w:rPr>
              <w:t>Following a pause in Q2 due to the organisational restructure, the Reconciliation Action Plan Working Group (RAP WG) was reconvened and successfully expanded to include a diverse group of First Nations allies alongside officers responsible for delivering RAP actions. The group's meetings have focused on strengthening cultural understanding and collaboration, including an on-Country learning experience at McCrae Foreshore facilitated by Living Culture, and a refreshed meeting format that shares updates on the First Nations season, local and government initiatives, and provides members with</w:t>
            </w:r>
            <w:r w:rsidR="0093767A">
              <w:rPr>
                <w:rFonts w:ascii="Poppins" w:hAnsi="Poppins" w:cs="Poppins"/>
              </w:rPr>
              <w:t xml:space="preserve"> </w:t>
            </w:r>
            <w:r w:rsidRPr="000A0F20">
              <w:rPr>
                <w:rFonts w:ascii="Poppins" w:hAnsi="Poppins" w:cs="Poppins"/>
              </w:rPr>
              <w:t>opportunities to discuss achievements, challenges and progress against RAP commitments.</w:t>
            </w:r>
          </w:p>
        </w:tc>
        <w:tc>
          <w:tcPr>
            <w:tcW w:w="1050" w:type="dxa"/>
            <w:shd w:val="clear" w:color="auto" w:fill="D6EBC4" w:themeFill="accent1" w:themeFillTint="66"/>
          </w:tcPr>
          <w:p w14:paraId="0D7CEC97" w14:textId="28520149" w:rsidR="0061013E" w:rsidRPr="000A0F20" w:rsidRDefault="278FF21A"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 track</w:t>
            </w:r>
          </w:p>
        </w:tc>
      </w:tr>
      <w:tr w:rsidR="0061013E" w:rsidRPr="006949AB" w14:paraId="65F44C07" w14:textId="1295DBF9"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val="restart"/>
            <w:tcBorders>
              <w:bottom w:val="single" w:sz="4" w:space="0" w:color="auto"/>
            </w:tcBorders>
            <w:shd w:val="clear" w:color="auto" w:fill="auto"/>
            <w:hideMark/>
          </w:tcPr>
          <w:p w14:paraId="247F9DB1" w14:textId="1AA89EDC" w:rsidR="0061013E" w:rsidRPr="006949AB" w:rsidRDefault="0061013E" w:rsidP="008614D2">
            <w:pPr>
              <w:pStyle w:val="BodyText"/>
              <w:rPr>
                <w:rFonts w:ascii="Poppins" w:hAnsi="Poppins" w:cs="Poppins"/>
              </w:rPr>
            </w:pPr>
            <w:r>
              <w:rPr>
                <w:rFonts w:ascii="Poppins" w:hAnsi="Poppins" w:cs="Poppins"/>
              </w:rPr>
              <w:t>16</w:t>
            </w:r>
            <w:r w:rsidRPr="006949AB">
              <w:rPr>
                <w:rFonts w:ascii="Poppins" w:hAnsi="Poppins" w:cs="Poppins"/>
              </w:rPr>
              <w:t xml:space="preserve"> </w:t>
            </w:r>
            <w:r w:rsidRPr="00E433D9">
              <w:rPr>
                <w:rFonts w:ascii="Poppins" w:hAnsi="Poppins" w:cs="Poppins"/>
              </w:rPr>
              <w:t>Provide appropriate support for effective implementation of RAP commitments. </w:t>
            </w:r>
          </w:p>
        </w:tc>
        <w:tc>
          <w:tcPr>
            <w:tcW w:w="2798" w:type="dxa"/>
            <w:tcBorders>
              <w:bottom w:val="single" w:sz="4" w:space="0" w:color="auto"/>
            </w:tcBorders>
            <w:shd w:val="clear" w:color="auto" w:fill="auto"/>
            <w:hideMark/>
          </w:tcPr>
          <w:p w14:paraId="4ED146AC" w14:textId="1C94AC8E"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16.1 </w:t>
            </w:r>
            <w:r w:rsidRPr="00BF733E">
              <w:rPr>
                <w:rFonts w:ascii="Poppins" w:hAnsi="Poppins" w:cs="Poppins"/>
              </w:rPr>
              <w:t>Define resource needs for RAP implementation. </w:t>
            </w:r>
          </w:p>
        </w:tc>
        <w:tc>
          <w:tcPr>
            <w:tcW w:w="3811" w:type="dxa"/>
            <w:tcBorders>
              <w:bottom w:val="single" w:sz="4" w:space="0" w:color="auto"/>
            </w:tcBorders>
            <w:shd w:val="clear" w:color="auto" w:fill="FFFFFF" w:themeFill="background1"/>
            <w:hideMark/>
          </w:tcPr>
          <w:p w14:paraId="5235686F" w14:textId="10DD27CE"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E34807">
              <w:rPr>
                <w:rFonts w:ascii="Poppins" w:hAnsi="Poppins" w:cs="Poppins"/>
              </w:rPr>
              <w:t>As each action in the RAP is achieved, it presents an ongoing picture of what resources are</w:t>
            </w:r>
            <w:r w:rsidR="00A67E3F">
              <w:rPr>
                <w:rFonts w:ascii="Poppins" w:hAnsi="Poppins" w:cs="Poppins"/>
              </w:rPr>
              <w:t xml:space="preserve"> </w:t>
            </w:r>
            <w:r w:rsidRPr="00E34807">
              <w:rPr>
                <w:rFonts w:ascii="Poppins" w:hAnsi="Poppins" w:cs="Poppins"/>
              </w:rPr>
              <w:t>required</w:t>
            </w:r>
            <w:r w:rsidR="00A67E3F">
              <w:rPr>
                <w:rFonts w:ascii="Poppins" w:hAnsi="Poppins" w:cs="Poppins"/>
              </w:rPr>
              <w:t xml:space="preserve"> </w:t>
            </w:r>
            <w:r w:rsidRPr="00E34807">
              <w:rPr>
                <w:rFonts w:ascii="Poppins" w:hAnsi="Poppins" w:cs="Poppins"/>
              </w:rPr>
              <w:t>for future RAP implementation.</w:t>
            </w:r>
            <w:r w:rsidR="00A67E3F">
              <w:rPr>
                <w:rFonts w:ascii="Poppins" w:hAnsi="Poppins" w:cs="Poppins"/>
              </w:rPr>
              <w:t xml:space="preserve"> </w:t>
            </w:r>
          </w:p>
        </w:tc>
        <w:tc>
          <w:tcPr>
            <w:tcW w:w="1050" w:type="dxa"/>
            <w:tcBorders>
              <w:bottom w:val="single" w:sz="4" w:space="0" w:color="auto"/>
            </w:tcBorders>
            <w:shd w:val="clear" w:color="auto" w:fill="D6EBC4" w:themeFill="accent1" w:themeFillTint="66"/>
          </w:tcPr>
          <w:p w14:paraId="1A249B54" w14:textId="1EBE07BC" w:rsidR="0061013E" w:rsidRPr="00E34807" w:rsidRDefault="441F55F5"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61013E" w:rsidRPr="006949AB" w14:paraId="3CB738C5" w14:textId="2C0EE8FB"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hideMark/>
          </w:tcPr>
          <w:p w14:paraId="116AD5FB" w14:textId="77777777" w:rsidR="0061013E" w:rsidRPr="006949AB" w:rsidRDefault="0061013E" w:rsidP="008614D2">
            <w:pPr>
              <w:pStyle w:val="BodyText"/>
              <w:rPr>
                <w:rFonts w:ascii="Poppins" w:hAnsi="Poppins" w:cs="Poppins"/>
              </w:rPr>
            </w:pPr>
          </w:p>
        </w:tc>
        <w:tc>
          <w:tcPr>
            <w:tcW w:w="2798" w:type="dxa"/>
            <w:tcBorders>
              <w:bottom w:val="single" w:sz="4" w:space="0" w:color="auto"/>
            </w:tcBorders>
            <w:shd w:val="clear" w:color="auto" w:fill="auto"/>
            <w:hideMark/>
          </w:tcPr>
          <w:p w14:paraId="4A9FBC4D" w14:textId="4A820786"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16.2</w:t>
            </w:r>
            <w:r w:rsidRPr="006949AB">
              <w:rPr>
                <w:rFonts w:ascii="Poppins" w:hAnsi="Poppins" w:cs="Poppins"/>
              </w:rPr>
              <w:t xml:space="preserve"> </w:t>
            </w:r>
            <w:r w:rsidRPr="00517CE0">
              <w:rPr>
                <w:rFonts w:ascii="Poppins" w:hAnsi="Poppins" w:cs="Poppins"/>
              </w:rPr>
              <w:t>Engage our senior leaders and other staff in the delivery of RAP commitments.  </w:t>
            </w:r>
          </w:p>
        </w:tc>
        <w:tc>
          <w:tcPr>
            <w:tcW w:w="3811" w:type="dxa"/>
            <w:tcBorders>
              <w:bottom w:val="single" w:sz="4" w:space="0" w:color="auto"/>
            </w:tcBorders>
            <w:shd w:val="clear" w:color="auto" w:fill="FFFFFF" w:themeFill="background1"/>
            <w:hideMark/>
          </w:tcPr>
          <w:p w14:paraId="58868C0A" w14:textId="053688E0"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942692">
              <w:rPr>
                <w:rFonts w:ascii="Poppins" w:hAnsi="Poppins" w:cs="Poppins"/>
              </w:rPr>
              <w:t>Senior Leaders have</w:t>
            </w:r>
            <w:r w:rsidR="00A67E3F">
              <w:rPr>
                <w:rFonts w:ascii="Poppins" w:hAnsi="Poppins" w:cs="Poppins"/>
              </w:rPr>
              <w:t xml:space="preserve"> </w:t>
            </w:r>
            <w:r w:rsidRPr="00942692">
              <w:rPr>
                <w:rFonts w:ascii="Poppins" w:hAnsi="Poppins" w:cs="Poppins"/>
              </w:rPr>
              <w:t>remained</w:t>
            </w:r>
            <w:r w:rsidR="00A67E3F">
              <w:rPr>
                <w:rFonts w:ascii="Poppins" w:hAnsi="Poppins" w:cs="Poppins"/>
              </w:rPr>
              <w:t xml:space="preserve"> </w:t>
            </w:r>
            <w:r w:rsidRPr="00942692">
              <w:rPr>
                <w:rFonts w:ascii="Poppins" w:hAnsi="Poppins" w:cs="Poppins"/>
              </w:rPr>
              <w:t xml:space="preserve">actively engaged in the delivery of the Reconciliation Action Plan through regular communications, updates on key opportunities, and participation in major initiatives such as National </w:t>
            </w:r>
            <w:r w:rsidRPr="00942692">
              <w:rPr>
                <w:rFonts w:ascii="Poppins" w:hAnsi="Poppins" w:cs="Poppins"/>
              </w:rPr>
              <w:lastRenderedPageBreak/>
              <w:t>Reconciliation Week and NAIDOC Week. Targeted engagement has also occurred with senior leaders in People and Culture to clarify RAP responsibilities, strengthen accountability, and support delivery of actions and commitments across the organisation. </w:t>
            </w:r>
          </w:p>
        </w:tc>
        <w:tc>
          <w:tcPr>
            <w:tcW w:w="1050" w:type="dxa"/>
            <w:tcBorders>
              <w:bottom w:val="single" w:sz="4" w:space="0" w:color="auto"/>
            </w:tcBorders>
            <w:shd w:val="clear" w:color="auto" w:fill="D6EBC4" w:themeFill="accent1" w:themeFillTint="66"/>
          </w:tcPr>
          <w:p w14:paraId="530CA625" w14:textId="0AA28576" w:rsidR="0061013E" w:rsidRPr="00942692" w:rsidRDefault="551ED26D"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lastRenderedPageBreak/>
              <w:t>Ongoing</w:t>
            </w:r>
          </w:p>
        </w:tc>
      </w:tr>
      <w:tr w:rsidR="0061013E" w:rsidRPr="006949AB" w14:paraId="4EB1FEF3" w14:textId="5DA3A366"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hideMark/>
          </w:tcPr>
          <w:p w14:paraId="72D94B47" w14:textId="77777777" w:rsidR="0061013E" w:rsidRPr="006949AB" w:rsidRDefault="0061013E" w:rsidP="008614D2">
            <w:pPr>
              <w:pStyle w:val="BodyText"/>
              <w:rPr>
                <w:rFonts w:ascii="Poppins" w:hAnsi="Poppins" w:cs="Poppins"/>
              </w:rPr>
            </w:pPr>
          </w:p>
        </w:tc>
        <w:tc>
          <w:tcPr>
            <w:tcW w:w="2798" w:type="dxa"/>
            <w:shd w:val="clear" w:color="auto" w:fill="auto"/>
            <w:hideMark/>
          </w:tcPr>
          <w:p w14:paraId="1529E792" w14:textId="70E6437A"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16.3</w:t>
            </w:r>
            <w:r w:rsidRPr="006949AB">
              <w:rPr>
                <w:rFonts w:ascii="Poppins" w:hAnsi="Poppins" w:cs="Poppins"/>
              </w:rPr>
              <w:t xml:space="preserve"> </w:t>
            </w:r>
            <w:r w:rsidRPr="00EC19BF">
              <w:rPr>
                <w:rFonts w:ascii="Poppins" w:hAnsi="Poppins" w:cs="Poppins"/>
              </w:rPr>
              <w:t>Define and maintain appropriate systems to track, measure and report on RAP commitments. </w:t>
            </w:r>
          </w:p>
        </w:tc>
        <w:tc>
          <w:tcPr>
            <w:tcW w:w="3811" w:type="dxa"/>
            <w:shd w:val="clear" w:color="auto" w:fill="FFFFFF" w:themeFill="background1"/>
            <w:hideMark/>
          </w:tcPr>
          <w:p w14:paraId="7E56456A" w14:textId="6CD881B5"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E1206C">
              <w:rPr>
                <w:rFonts w:ascii="Poppins" w:hAnsi="Poppins" w:cs="Poppins"/>
              </w:rPr>
              <w:t>In July 2025, the Reconciliation Action Plan (RAP) was integrated into the Shire’s corporate reporting system, CAMMS, aligning RAP monitoring and reporting with the broader Council Plan and Municipal Public Health and Wellbeing Plan reporting framework. This has strengthened organisational accountability by enabling the consistent tracking,</w:t>
            </w:r>
            <w:r w:rsidR="0082335D">
              <w:rPr>
                <w:rFonts w:ascii="Poppins" w:hAnsi="Poppins" w:cs="Poppins"/>
              </w:rPr>
              <w:t xml:space="preserve"> </w:t>
            </w:r>
            <w:r w:rsidRPr="00E1206C">
              <w:rPr>
                <w:rFonts w:ascii="Poppins" w:hAnsi="Poppins" w:cs="Poppins"/>
              </w:rPr>
              <w:t>measurement and reporting of RAP commitments, while providing clear visibility of progress to the Executive, Council and Reconciliation Australia. </w:t>
            </w:r>
          </w:p>
        </w:tc>
        <w:tc>
          <w:tcPr>
            <w:tcW w:w="1050" w:type="dxa"/>
            <w:shd w:val="clear" w:color="auto" w:fill="D6EBC4" w:themeFill="accent1" w:themeFillTint="66"/>
          </w:tcPr>
          <w:p w14:paraId="69C05E16" w14:textId="0232688B" w:rsidR="0061013E" w:rsidRPr="00E1206C" w:rsidRDefault="48CFC843"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Complete</w:t>
            </w:r>
          </w:p>
        </w:tc>
      </w:tr>
      <w:tr w:rsidR="0061013E" w:rsidRPr="006949AB" w14:paraId="5BBC971C" w14:textId="399A706E"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3AA54EE3" w14:textId="77777777" w:rsidR="0061013E" w:rsidRPr="006949AB" w:rsidRDefault="0061013E" w:rsidP="008614D2">
            <w:pPr>
              <w:pStyle w:val="BodyText"/>
              <w:rPr>
                <w:rFonts w:ascii="Poppins" w:hAnsi="Poppins" w:cs="Poppins"/>
              </w:rPr>
            </w:pPr>
          </w:p>
        </w:tc>
        <w:tc>
          <w:tcPr>
            <w:tcW w:w="2798" w:type="dxa"/>
            <w:shd w:val="clear" w:color="auto" w:fill="auto"/>
          </w:tcPr>
          <w:p w14:paraId="72D030EE" w14:textId="0DC1647E" w:rsidR="0061013E"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16.4 </w:t>
            </w:r>
            <w:r w:rsidRPr="00C11B2C">
              <w:rPr>
                <w:rFonts w:ascii="Poppins" w:hAnsi="Poppins" w:cs="Poppins"/>
              </w:rPr>
              <w:t>Appoint and maintain an internal RAP Champion from senior management. </w:t>
            </w:r>
          </w:p>
        </w:tc>
        <w:tc>
          <w:tcPr>
            <w:tcW w:w="3811" w:type="dxa"/>
            <w:shd w:val="clear" w:color="auto" w:fill="FFFFFF" w:themeFill="background1"/>
          </w:tcPr>
          <w:p w14:paraId="37F20BD4" w14:textId="3D811D07" w:rsidR="0061013E" w:rsidRPr="00E1206C"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C66A40">
              <w:rPr>
                <w:rFonts w:ascii="Poppins" w:hAnsi="Poppins" w:cs="Poppins"/>
              </w:rPr>
              <w:t>The Director of Community Strengthening has been appointed as the RAP Champion. </w:t>
            </w:r>
          </w:p>
        </w:tc>
        <w:tc>
          <w:tcPr>
            <w:tcW w:w="1050" w:type="dxa"/>
            <w:shd w:val="clear" w:color="auto" w:fill="D6EBC4" w:themeFill="accent1" w:themeFillTint="66"/>
          </w:tcPr>
          <w:p w14:paraId="74D7F251" w14:textId="0198CE74" w:rsidR="0061013E" w:rsidRPr="00C66A40" w:rsidRDefault="3236D7D0"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Complete</w:t>
            </w:r>
          </w:p>
        </w:tc>
      </w:tr>
      <w:tr w:rsidR="0061013E" w:rsidRPr="006949AB" w14:paraId="5AAFF481" w14:textId="6D68CBA0"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val="restart"/>
            <w:shd w:val="clear" w:color="auto" w:fill="auto"/>
          </w:tcPr>
          <w:p w14:paraId="37D0B810" w14:textId="72359200" w:rsidR="0061013E" w:rsidRPr="006949AB" w:rsidRDefault="0061013E" w:rsidP="008614D2">
            <w:pPr>
              <w:pStyle w:val="BodyText"/>
              <w:rPr>
                <w:rFonts w:ascii="Poppins" w:hAnsi="Poppins" w:cs="Poppins"/>
              </w:rPr>
            </w:pPr>
            <w:r>
              <w:rPr>
                <w:rFonts w:ascii="Poppins" w:hAnsi="Poppins" w:cs="Poppins"/>
              </w:rPr>
              <w:t>17</w:t>
            </w:r>
            <w:r w:rsidRPr="006949AB">
              <w:rPr>
                <w:rFonts w:ascii="Poppins" w:hAnsi="Poppins" w:cs="Poppins"/>
              </w:rPr>
              <w:t xml:space="preserve"> </w:t>
            </w:r>
            <w:r w:rsidRPr="00C115F3">
              <w:rPr>
                <w:rFonts w:ascii="Poppins" w:hAnsi="Poppins" w:cs="Poppins"/>
              </w:rPr>
              <w:t>Build accountability and transparency through reporting RAP achievements, challenges and learnings both internally and externally. </w:t>
            </w:r>
          </w:p>
        </w:tc>
        <w:tc>
          <w:tcPr>
            <w:tcW w:w="2798" w:type="dxa"/>
            <w:shd w:val="clear" w:color="auto" w:fill="auto"/>
          </w:tcPr>
          <w:p w14:paraId="5D320C56" w14:textId="107647D7" w:rsidR="0061013E"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17.1 </w:t>
            </w:r>
            <w:r w:rsidRPr="001F5358">
              <w:rPr>
                <w:rFonts w:ascii="Poppins" w:hAnsi="Poppins" w:cs="Poppins"/>
              </w:rPr>
              <w:t>Contact Reconciliation Australia to verify that our primary and secondary contact details are up to date, to ensure we do not miss out on important RAP correspondence. </w:t>
            </w:r>
          </w:p>
        </w:tc>
        <w:tc>
          <w:tcPr>
            <w:tcW w:w="3811" w:type="dxa"/>
            <w:shd w:val="clear" w:color="auto" w:fill="FFFFFF" w:themeFill="background1"/>
          </w:tcPr>
          <w:p w14:paraId="641026DE" w14:textId="5BE16D44" w:rsidR="0061013E" w:rsidRPr="00C66A40"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0E346F">
              <w:rPr>
                <w:rFonts w:ascii="Poppins" w:hAnsi="Poppins" w:cs="Poppins"/>
              </w:rPr>
              <w:t>Contact</w:t>
            </w:r>
            <w:r w:rsidR="00885A70">
              <w:rPr>
                <w:rFonts w:ascii="Poppins" w:hAnsi="Poppins" w:cs="Poppins"/>
              </w:rPr>
              <w:t xml:space="preserve"> </w:t>
            </w:r>
            <w:r w:rsidRPr="000E346F">
              <w:rPr>
                <w:rFonts w:ascii="Poppins" w:hAnsi="Poppins" w:cs="Poppins"/>
              </w:rPr>
              <w:t>with Reconciliation Australia</w:t>
            </w:r>
            <w:r w:rsidR="00885A70">
              <w:rPr>
                <w:rFonts w:ascii="Poppins" w:hAnsi="Poppins" w:cs="Poppins"/>
              </w:rPr>
              <w:t xml:space="preserve"> </w:t>
            </w:r>
            <w:r w:rsidRPr="000E346F">
              <w:rPr>
                <w:rFonts w:ascii="Poppins" w:hAnsi="Poppins" w:cs="Poppins"/>
              </w:rPr>
              <w:t>has been made to confirm all the</w:t>
            </w:r>
            <w:r w:rsidR="00885A70">
              <w:rPr>
                <w:rFonts w:ascii="Poppins" w:hAnsi="Poppins" w:cs="Poppins"/>
              </w:rPr>
              <w:t xml:space="preserve"> </w:t>
            </w:r>
            <w:r w:rsidRPr="000E346F">
              <w:rPr>
                <w:rFonts w:ascii="Poppins" w:hAnsi="Poppins" w:cs="Poppins"/>
              </w:rPr>
              <w:t>appropriate details</w:t>
            </w:r>
            <w:r w:rsidR="00885A70">
              <w:rPr>
                <w:rFonts w:ascii="Poppins" w:hAnsi="Poppins" w:cs="Poppins"/>
              </w:rPr>
              <w:t xml:space="preserve"> </w:t>
            </w:r>
            <w:r w:rsidRPr="000E346F">
              <w:rPr>
                <w:rFonts w:ascii="Poppins" w:hAnsi="Poppins" w:cs="Poppins"/>
              </w:rPr>
              <w:t>are correct for 2026. </w:t>
            </w:r>
          </w:p>
        </w:tc>
        <w:tc>
          <w:tcPr>
            <w:tcW w:w="1050" w:type="dxa"/>
            <w:shd w:val="clear" w:color="auto" w:fill="D6EBC4" w:themeFill="accent1" w:themeFillTint="66"/>
          </w:tcPr>
          <w:p w14:paraId="68589DE7" w14:textId="1E8AC01C" w:rsidR="0061013E" w:rsidRPr="000E346F" w:rsidRDefault="6F01FA01"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Complete</w:t>
            </w:r>
          </w:p>
        </w:tc>
      </w:tr>
      <w:tr w:rsidR="0061013E" w:rsidRPr="006949AB" w14:paraId="37666D6F" w14:textId="181A39EC"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3D74B03B" w14:textId="77777777" w:rsidR="0061013E" w:rsidRPr="006949AB" w:rsidRDefault="0061013E" w:rsidP="008614D2">
            <w:pPr>
              <w:pStyle w:val="BodyText"/>
              <w:rPr>
                <w:rFonts w:ascii="Poppins" w:hAnsi="Poppins" w:cs="Poppins"/>
              </w:rPr>
            </w:pPr>
          </w:p>
        </w:tc>
        <w:tc>
          <w:tcPr>
            <w:tcW w:w="2798" w:type="dxa"/>
            <w:shd w:val="clear" w:color="auto" w:fill="auto"/>
          </w:tcPr>
          <w:p w14:paraId="4099A7B7" w14:textId="59716DD9" w:rsidR="0061013E"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17.2 </w:t>
            </w:r>
            <w:r w:rsidRPr="00BB1465">
              <w:rPr>
                <w:rFonts w:ascii="Poppins" w:hAnsi="Poppins" w:cs="Poppins"/>
              </w:rPr>
              <w:t>Contact Reconciliation Australia to request our unique link, to access the online RAP Impact Survey. </w:t>
            </w:r>
          </w:p>
        </w:tc>
        <w:tc>
          <w:tcPr>
            <w:tcW w:w="3811" w:type="dxa"/>
            <w:shd w:val="clear" w:color="auto" w:fill="FFFFFF" w:themeFill="background1"/>
          </w:tcPr>
          <w:p w14:paraId="61C400FA" w14:textId="4FB8F6A5" w:rsidR="0061013E" w:rsidRPr="00C66A40"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First Nations </w:t>
            </w:r>
            <w:r w:rsidRPr="00233239">
              <w:rPr>
                <w:rFonts w:ascii="Poppins" w:hAnsi="Poppins" w:cs="Poppins"/>
              </w:rPr>
              <w:t>Officer received the 2025</w:t>
            </w:r>
            <w:r w:rsidR="00885A70">
              <w:rPr>
                <w:rFonts w:ascii="Poppins" w:hAnsi="Poppins" w:cs="Poppins"/>
              </w:rPr>
              <w:t xml:space="preserve"> </w:t>
            </w:r>
            <w:r w:rsidRPr="00233239">
              <w:rPr>
                <w:rFonts w:ascii="Poppins" w:hAnsi="Poppins" w:cs="Poppins"/>
              </w:rPr>
              <w:t>Reconciliation Australia’s</w:t>
            </w:r>
            <w:r w:rsidR="00885A70">
              <w:rPr>
                <w:rFonts w:ascii="Poppins" w:hAnsi="Poppins" w:cs="Poppins"/>
              </w:rPr>
              <w:t xml:space="preserve"> </w:t>
            </w:r>
            <w:r w:rsidRPr="00233239">
              <w:rPr>
                <w:rFonts w:ascii="Poppins" w:hAnsi="Poppins" w:cs="Poppins"/>
              </w:rPr>
              <w:t>unique link, to access the online RAP Impact Survey. </w:t>
            </w:r>
          </w:p>
        </w:tc>
        <w:tc>
          <w:tcPr>
            <w:tcW w:w="1050" w:type="dxa"/>
            <w:shd w:val="clear" w:color="auto" w:fill="D6EBC4" w:themeFill="accent1" w:themeFillTint="66"/>
          </w:tcPr>
          <w:p w14:paraId="412CCF6D" w14:textId="19E598D4" w:rsidR="0061013E" w:rsidRDefault="208AF130"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On</w:t>
            </w:r>
            <w:r w:rsidR="3AE4566E" w:rsidRPr="7E33A643">
              <w:rPr>
                <w:rFonts w:ascii="Poppins" w:hAnsi="Poppins" w:cs="Poppins"/>
              </w:rPr>
              <w:t>going</w:t>
            </w:r>
          </w:p>
        </w:tc>
      </w:tr>
      <w:tr w:rsidR="0061013E" w:rsidRPr="006949AB" w14:paraId="7BDD2C1B" w14:textId="1313D399"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3836153C" w14:textId="77777777" w:rsidR="0061013E" w:rsidRPr="006949AB" w:rsidRDefault="0061013E" w:rsidP="008614D2">
            <w:pPr>
              <w:pStyle w:val="BodyText"/>
              <w:rPr>
                <w:rFonts w:ascii="Poppins" w:hAnsi="Poppins" w:cs="Poppins"/>
              </w:rPr>
            </w:pPr>
          </w:p>
        </w:tc>
        <w:tc>
          <w:tcPr>
            <w:tcW w:w="2798" w:type="dxa"/>
            <w:shd w:val="clear" w:color="auto" w:fill="auto"/>
          </w:tcPr>
          <w:p w14:paraId="0DD9836E" w14:textId="7D6C1018" w:rsidR="0061013E"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17.3 </w:t>
            </w:r>
            <w:r w:rsidRPr="00012B4C">
              <w:rPr>
                <w:rFonts w:ascii="Poppins" w:hAnsi="Poppins" w:cs="Poppins"/>
              </w:rPr>
              <w:t>Complete and submit the annual RAP Impact Survey to Reconciliation Australia. </w:t>
            </w:r>
          </w:p>
        </w:tc>
        <w:tc>
          <w:tcPr>
            <w:tcW w:w="3811" w:type="dxa"/>
            <w:shd w:val="clear" w:color="auto" w:fill="FFFFFF" w:themeFill="background1"/>
          </w:tcPr>
          <w:p w14:paraId="6C93C443" w14:textId="192D47A6" w:rsidR="0061013E" w:rsidRPr="00C66A40" w:rsidRDefault="00557C97"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557C97">
              <w:rPr>
                <w:rFonts w:ascii="Poppins" w:hAnsi="Poppins" w:cs="Poppins"/>
              </w:rPr>
              <w:t>In September 2025, the First Nations Officer completed and submitted the Reconciliation Australia online RAP Impact Survey.</w:t>
            </w:r>
          </w:p>
        </w:tc>
        <w:tc>
          <w:tcPr>
            <w:tcW w:w="1050" w:type="dxa"/>
            <w:shd w:val="clear" w:color="auto" w:fill="D6EBC4" w:themeFill="accent1" w:themeFillTint="66"/>
          </w:tcPr>
          <w:p w14:paraId="7AA9553E" w14:textId="171266C2" w:rsidR="0061013E" w:rsidRPr="003F6806" w:rsidRDefault="0855575A"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Ongoing</w:t>
            </w:r>
          </w:p>
        </w:tc>
      </w:tr>
      <w:tr w:rsidR="0061013E" w:rsidRPr="006949AB" w14:paraId="7AF1C306" w14:textId="58A13F52"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7604F05E" w14:textId="77777777" w:rsidR="0061013E" w:rsidRPr="006949AB" w:rsidRDefault="0061013E" w:rsidP="008614D2">
            <w:pPr>
              <w:pStyle w:val="BodyText"/>
              <w:rPr>
                <w:rFonts w:ascii="Poppins" w:hAnsi="Poppins" w:cs="Poppins"/>
              </w:rPr>
            </w:pPr>
          </w:p>
        </w:tc>
        <w:tc>
          <w:tcPr>
            <w:tcW w:w="2798" w:type="dxa"/>
            <w:shd w:val="clear" w:color="auto" w:fill="auto"/>
          </w:tcPr>
          <w:p w14:paraId="3686362B" w14:textId="12C9A9F0" w:rsidR="0061013E"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17.4 </w:t>
            </w:r>
            <w:r w:rsidRPr="00CB7A92">
              <w:rPr>
                <w:rFonts w:ascii="Poppins" w:hAnsi="Poppins" w:cs="Poppins"/>
              </w:rPr>
              <w:t>Report RAP progress to all staff and senior leaders quarterly.  </w:t>
            </w:r>
          </w:p>
        </w:tc>
        <w:tc>
          <w:tcPr>
            <w:tcW w:w="3811" w:type="dxa"/>
            <w:shd w:val="clear" w:color="auto" w:fill="FFFFFF" w:themeFill="background1"/>
          </w:tcPr>
          <w:p w14:paraId="55D8D860" w14:textId="4BD88F39" w:rsidR="0061013E" w:rsidRPr="00C66A40"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sidRPr="00391FDE">
              <w:rPr>
                <w:rFonts w:ascii="Poppins" w:hAnsi="Poppins" w:cs="Poppins"/>
              </w:rPr>
              <w:t>RAP progress is</w:t>
            </w:r>
            <w:r w:rsidR="00885A70">
              <w:rPr>
                <w:rFonts w:ascii="Poppins" w:hAnsi="Poppins" w:cs="Poppins"/>
              </w:rPr>
              <w:t xml:space="preserve"> </w:t>
            </w:r>
            <w:r w:rsidRPr="00391FDE">
              <w:rPr>
                <w:rFonts w:ascii="Poppins" w:hAnsi="Poppins" w:cs="Poppins"/>
              </w:rPr>
              <w:t>monitored</w:t>
            </w:r>
            <w:r w:rsidR="00885A70">
              <w:rPr>
                <w:rFonts w:ascii="Poppins" w:hAnsi="Poppins" w:cs="Poppins"/>
              </w:rPr>
              <w:t xml:space="preserve"> </w:t>
            </w:r>
            <w:r w:rsidRPr="00391FDE">
              <w:rPr>
                <w:rFonts w:ascii="Poppins" w:hAnsi="Poppins" w:cs="Poppins"/>
              </w:rPr>
              <w:t>and reported quarterly through Reconciliation Action Plan (RAP) Working Group meetings, which include senior leaders responsible for delivering specific RAP actions. An annual RAP progress report is also presented to the Executive, highlighting key achievements,</w:t>
            </w:r>
            <w:r w:rsidR="00885A70">
              <w:rPr>
                <w:rFonts w:ascii="Poppins" w:hAnsi="Poppins" w:cs="Poppins"/>
              </w:rPr>
              <w:t xml:space="preserve"> </w:t>
            </w:r>
            <w:r w:rsidRPr="00391FDE">
              <w:rPr>
                <w:rFonts w:ascii="Poppins" w:hAnsi="Poppins" w:cs="Poppins"/>
              </w:rPr>
              <w:t>outcomes</w:t>
            </w:r>
            <w:r w:rsidR="00885A70">
              <w:rPr>
                <w:rFonts w:ascii="Poppins" w:hAnsi="Poppins" w:cs="Poppins"/>
              </w:rPr>
              <w:t xml:space="preserve"> </w:t>
            </w:r>
            <w:r w:rsidRPr="00391FDE">
              <w:rPr>
                <w:rFonts w:ascii="Poppins" w:hAnsi="Poppins" w:cs="Poppins"/>
              </w:rPr>
              <w:t xml:space="preserve">and areas </w:t>
            </w:r>
            <w:r w:rsidRPr="00391FDE">
              <w:rPr>
                <w:rFonts w:ascii="Poppins" w:hAnsi="Poppins" w:cs="Poppins"/>
              </w:rPr>
              <w:lastRenderedPageBreak/>
              <w:t>of progress over the preceding year. To further strengthen implementation, an</w:t>
            </w:r>
            <w:r w:rsidR="00885A70">
              <w:rPr>
                <w:rFonts w:ascii="Poppins" w:hAnsi="Poppins" w:cs="Poppins"/>
              </w:rPr>
              <w:t xml:space="preserve"> </w:t>
            </w:r>
            <w:r w:rsidRPr="00391FDE">
              <w:rPr>
                <w:rFonts w:ascii="Poppins" w:hAnsi="Poppins" w:cs="Poppins"/>
              </w:rPr>
              <w:t>additional</w:t>
            </w:r>
            <w:r w:rsidR="00885A70">
              <w:rPr>
                <w:rFonts w:ascii="Poppins" w:hAnsi="Poppins" w:cs="Poppins"/>
              </w:rPr>
              <w:t xml:space="preserve"> </w:t>
            </w:r>
            <w:r w:rsidRPr="00391FDE">
              <w:rPr>
                <w:rFonts w:ascii="Poppins" w:hAnsi="Poppins" w:cs="Poppins"/>
              </w:rPr>
              <w:t>report is scheduled for presentation to the Executive in Q1 2026, focusing on strategies to address more complex actions and support improved outcomes across the remaining RAP commitments. </w:t>
            </w:r>
          </w:p>
        </w:tc>
        <w:tc>
          <w:tcPr>
            <w:tcW w:w="1050" w:type="dxa"/>
            <w:shd w:val="clear" w:color="auto" w:fill="D6EBC4" w:themeFill="accent1" w:themeFillTint="66"/>
          </w:tcPr>
          <w:p w14:paraId="3D0710D2" w14:textId="7AA90E5B" w:rsidR="0061013E" w:rsidRPr="00391FDE" w:rsidRDefault="201B5761"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lastRenderedPageBreak/>
              <w:t>Ongoing</w:t>
            </w:r>
          </w:p>
        </w:tc>
      </w:tr>
      <w:tr w:rsidR="0061013E" w:rsidRPr="006949AB" w14:paraId="7A20C0A3" w14:textId="47BBC052"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val="restart"/>
            <w:shd w:val="clear" w:color="auto" w:fill="auto"/>
          </w:tcPr>
          <w:p w14:paraId="3A059278" w14:textId="77777777" w:rsidR="0061013E" w:rsidRPr="006949AB" w:rsidRDefault="0061013E" w:rsidP="008614D2">
            <w:pPr>
              <w:pStyle w:val="BodyText"/>
              <w:rPr>
                <w:rFonts w:ascii="Poppins" w:hAnsi="Poppins" w:cs="Poppins"/>
              </w:rPr>
            </w:pPr>
          </w:p>
        </w:tc>
        <w:tc>
          <w:tcPr>
            <w:tcW w:w="2798" w:type="dxa"/>
            <w:shd w:val="clear" w:color="auto" w:fill="auto"/>
          </w:tcPr>
          <w:p w14:paraId="02D0E1C2" w14:textId="7D8472EA" w:rsidR="0061013E"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17.5 </w:t>
            </w:r>
            <w:r w:rsidRPr="007907D5">
              <w:rPr>
                <w:rFonts w:ascii="Poppins" w:hAnsi="Poppins" w:cs="Poppins"/>
              </w:rPr>
              <w:t>Publicly report our RAP achievements,</w:t>
            </w:r>
            <w:r w:rsidR="00B95566">
              <w:rPr>
                <w:rFonts w:ascii="Poppins" w:hAnsi="Poppins" w:cs="Poppins"/>
              </w:rPr>
              <w:t xml:space="preserve"> </w:t>
            </w:r>
            <w:r w:rsidRPr="007907D5">
              <w:rPr>
                <w:rFonts w:ascii="Poppins" w:hAnsi="Poppins" w:cs="Poppins"/>
              </w:rPr>
              <w:t>challenges</w:t>
            </w:r>
            <w:r w:rsidR="00885A70">
              <w:rPr>
                <w:rFonts w:ascii="Poppins" w:hAnsi="Poppins" w:cs="Poppins"/>
              </w:rPr>
              <w:t xml:space="preserve"> </w:t>
            </w:r>
            <w:r w:rsidRPr="007907D5">
              <w:rPr>
                <w:rFonts w:ascii="Poppins" w:hAnsi="Poppins" w:cs="Poppins"/>
              </w:rPr>
              <w:t>and learnings, annually.</w:t>
            </w:r>
          </w:p>
        </w:tc>
        <w:tc>
          <w:tcPr>
            <w:tcW w:w="3811" w:type="dxa"/>
            <w:shd w:val="clear" w:color="auto" w:fill="FFFFFF" w:themeFill="background1"/>
          </w:tcPr>
          <w:p w14:paraId="227192FD" w14:textId="141DA80D" w:rsidR="0061013E" w:rsidRPr="00C66A40"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893DC6">
              <w:rPr>
                <w:rFonts w:ascii="Poppins" w:hAnsi="Poppins" w:cs="Poppins"/>
              </w:rPr>
              <w:t>Council has continued to promote reconciliation and First Nations initiatives through a range of communication channels, including social media, print advertising, community</w:t>
            </w:r>
            <w:r w:rsidR="00922D83">
              <w:rPr>
                <w:rFonts w:ascii="Poppins" w:hAnsi="Poppins" w:cs="Poppins"/>
              </w:rPr>
              <w:t xml:space="preserve"> </w:t>
            </w:r>
            <w:r w:rsidRPr="00893DC6">
              <w:rPr>
                <w:rFonts w:ascii="Poppins" w:hAnsi="Poppins" w:cs="Poppins"/>
              </w:rPr>
              <w:t>publications and targeted campaigns. Key activities included promoting Mornington Peninsula</w:t>
            </w:r>
            <w:r w:rsidR="00885A70">
              <w:rPr>
                <w:rFonts w:ascii="Poppins" w:hAnsi="Poppins" w:cs="Poppins"/>
              </w:rPr>
              <w:t xml:space="preserve"> </w:t>
            </w:r>
            <w:r w:rsidRPr="00893DC6">
              <w:rPr>
                <w:rFonts w:ascii="Poppins" w:hAnsi="Poppins" w:cs="Poppins"/>
              </w:rPr>
              <w:t>Regional Gallery First Nations exhibitions and events, highlighting Reconciliation and Allies events in Peninsula Wide, and developing dedicated communication plans for both NAIDOC Week 2025 and</w:t>
            </w:r>
            <w:r w:rsidR="00980E4E">
              <w:rPr>
                <w:rFonts w:ascii="Poppins" w:hAnsi="Poppins" w:cs="Poppins"/>
              </w:rPr>
              <w:t xml:space="preserve"> </w:t>
            </w:r>
            <w:r w:rsidRPr="00893DC6">
              <w:rPr>
                <w:rFonts w:ascii="Poppins" w:hAnsi="Poppins" w:cs="Poppins"/>
              </w:rPr>
              <w:t>National Reconciliation Week</w:t>
            </w:r>
            <w:r w:rsidR="00980E4E">
              <w:rPr>
                <w:rFonts w:ascii="Poppins" w:hAnsi="Poppins" w:cs="Poppins"/>
              </w:rPr>
              <w:t xml:space="preserve"> </w:t>
            </w:r>
            <w:r w:rsidRPr="00893DC6">
              <w:rPr>
                <w:rFonts w:ascii="Poppins" w:hAnsi="Poppins" w:cs="Poppins"/>
              </w:rPr>
              <w:t>2026 and the Reconciliation Action Plan. Ongoing RAP communications have reinforced the Shire’s commitment to reconciliation. </w:t>
            </w:r>
          </w:p>
        </w:tc>
        <w:tc>
          <w:tcPr>
            <w:tcW w:w="1050" w:type="dxa"/>
            <w:shd w:val="clear" w:color="auto" w:fill="FFE8BC" w:themeFill="accent3" w:themeFillTint="66"/>
          </w:tcPr>
          <w:p w14:paraId="08CDE954" w14:textId="5B2D63D3" w:rsidR="0061013E" w:rsidRPr="00893DC6" w:rsidRDefault="5D80C6ED"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61013E" w:rsidRPr="006949AB" w14:paraId="2E9EC58E" w14:textId="00634529"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6D2ACCD7" w14:textId="77777777" w:rsidR="0061013E" w:rsidRPr="006949AB" w:rsidRDefault="0061013E" w:rsidP="008614D2">
            <w:pPr>
              <w:pStyle w:val="BodyText"/>
              <w:rPr>
                <w:rFonts w:ascii="Poppins" w:hAnsi="Poppins" w:cs="Poppins"/>
              </w:rPr>
            </w:pPr>
          </w:p>
        </w:tc>
        <w:tc>
          <w:tcPr>
            <w:tcW w:w="2798" w:type="dxa"/>
            <w:shd w:val="clear" w:color="auto" w:fill="auto"/>
          </w:tcPr>
          <w:p w14:paraId="1E015476" w14:textId="161E7D2B"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17.6 </w:t>
            </w:r>
            <w:r w:rsidRPr="003363C7">
              <w:rPr>
                <w:rFonts w:ascii="Poppins" w:hAnsi="Poppins" w:cs="Poppins"/>
              </w:rPr>
              <w:t>Investigate</w:t>
            </w:r>
            <w:r w:rsidR="004950C6">
              <w:rPr>
                <w:rFonts w:ascii="Poppins" w:hAnsi="Poppins" w:cs="Poppins"/>
              </w:rPr>
              <w:t xml:space="preserve"> </w:t>
            </w:r>
            <w:r w:rsidRPr="003363C7">
              <w:rPr>
                <w:rFonts w:ascii="Poppins" w:hAnsi="Poppins" w:cs="Poppins"/>
              </w:rPr>
              <w:t>participating</w:t>
            </w:r>
            <w:r w:rsidR="004950C6">
              <w:rPr>
                <w:rFonts w:ascii="Poppins" w:hAnsi="Poppins" w:cs="Poppins"/>
              </w:rPr>
              <w:t xml:space="preserve"> </w:t>
            </w:r>
            <w:r w:rsidRPr="003363C7">
              <w:rPr>
                <w:rFonts w:ascii="Poppins" w:hAnsi="Poppins" w:cs="Poppins"/>
              </w:rPr>
              <w:t>in Reconciliation Australia’s biennial Workplace RAP Barometer.</w:t>
            </w:r>
          </w:p>
        </w:tc>
        <w:tc>
          <w:tcPr>
            <w:tcW w:w="3811" w:type="dxa"/>
            <w:shd w:val="clear" w:color="auto" w:fill="FFFFFF" w:themeFill="background1"/>
          </w:tcPr>
          <w:p w14:paraId="3411EC30" w14:textId="53D2DF52" w:rsidR="0061013E" w:rsidRPr="006949AB" w:rsidRDefault="001F619C" w:rsidP="008614D2">
            <w:pPr>
              <w:pStyle w:val="BodyText"/>
              <w:cnfStyle w:val="000000010000" w:firstRow="0" w:lastRow="0" w:firstColumn="0" w:lastColumn="0" w:oddVBand="0" w:evenVBand="0" w:oddHBand="0" w:evenHBand="1" w:firstRowFirstColumn="0" w:firstRowLastColumn="0" w:lastRowFirstColumn="0" w:lastRowLastColumn="0"/>
            </w:pPr>
            <w:r w:rsidRPr="001F619C">
              <w:t xml:space="preserve">First Nations Officer participated in a webinar facilitated by Reconciliation Australia on their biennial Workplace RAP Barometer. The information was recorded and shared with P&amp;C leaders. </w:t>
            </w:r>
          </w:p>
        </w:tc>
        <w:tc>
          <w:tcPr>
            <w:tcW w:w="1050" w:type="dxa"/>
            <w:shd w:val="clear" w:color="auto" w:fill="FFE8BC" w:themeFill="accent3" w:themeFillTint="66"/>
          </w:tcPr>
          <w:p w14:paraId="7B60DC2E" w14:textId="3016AE9E" w:rsidR="0061013E" w:rsidRDefault="4545D0E8" w:rsidP="008614D2">
            <w:pPr>
              <w:pStyle w:val="BodyText"/>
              <w:cnfStyle w:val="000000010000" w:firstRow="0" w:lastRow="0" w:firstColumn="0" w:lastColumn="0" w:oddVBand="0" w:evenVBand="0" w:oddHBand="0" w:evenHBand="1" w:firstRowFirstColumn="0" w:firstRowLastColumn="0" w:lastRowFirstColumn="0" w:lastRowLastColumn="0"/>
            </w:pPr>
            <w:r w:rsidRPr="7E33A643">
              <w:rPr>
                <w:rFonts w:ascii="Poppins" w:hAnsi="Poppins" w:cs="Poppins"/>
              </w:rPr>
              <w:t>Monitor</w:t>
            </w:r>
          </w:p>
        </w:tc>
      </w:tr>
      <w:tr w:rsidR="0061013E" w:rsidRPr="006949AB" w14:paraId="07C50E95" w14:textId="0061C5F1" w:rsidTr="139CF35B">
        <w:trPr>
          <w:trHeight w:val="20"/>
        </w:trPr>
        <w:tc>
          <w:tcPr>
            <w:cnfStyle w:val="001000000000" w:firstRow="0" w:lastRow="0" w:firstColumn="1" w:lastColumn="0" w:oddVBand="0" w:evenVBand="0" w:oddHBand="0" w:evenHBand="0" w:firstRowFirstColumn="0" w:firstRowLastColumn="0" w:lastRowFirstColumn="0" w:lastRowLastColumn="0"/>
            <w:tcW w:w="2032" w:type="dxa"/>
            <w:vMerge/>
          </w:tcPr>
          <w:p w14:paraId="0D3065DB" w14:textId="77777777" w:rsidR="0061013E" w:rsidRPr="006949AB" w:rsidRDefault="0061013E" w:rsidP="008614D2">
            <w:pPr>
              <w:pStyle w:val="BodyText"/>
              <w:rPr>
                <w:rFonts w:ascii="Poppins" w:hAnsi="Poppins" w:cs="Poppins"/>
              </w:rPr>
            </w:pPr>
          </w:p>
        </w:tc>
        <w:tc>
          <w:tcPr>
            <w:tcW w:w="2798" w:type="dxa"/>
            <w:shd w:val="clear" w:color="auto" w:fill="auto"/>
          </w:tcPr>
          <w:p w14:paraId="14C04C37" w14:textId="230EC6BD"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17.7 </w:t>
            </w:r>
            <w:r w:rsidRPr="003C5557">
              <w:rPr>
                <w:rFonts w:ascii="Poppins" w:hAnsi="Poppins" w:cs="Poppins"/>
              </w:rPr>
              <w:t>Submit a traffic light report to Reconciliation Australia at the conclusion of this RAP.</w:t>
            </w:r>
          </w:p>
        </w:tc>
        <w:tc>
          <w:tcPr>
            <w:tcW w:w="3811" w:type="dxa"/>
            <w:shd w:val="clear" w:color="auto" w:fill="FFFFFF" w:themeFill="background1"/>
          </w:tcPr>
          <w:p w14:paraId="3038A2AA" w14:textId="400536A9" w:rsidR="0061013E" w:rsidRPr="006949AB" w:rsidRDefault="0061013E" w:rsidP="008614D2">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3C5557">
              <w:rPr>
                <w:rFonts w:ascii="Poppins" w:hAnsi="Poppins" w:cs="Poppins"/>
              </w:rPr>
              <w:t>Action</w:t>
            </w:r>
            <w:r w:rsidR="0048565A">
              <w:rPr>
                <w:rFonts w:ascii="Poppins" w:hAnsi="Poppins" w:cs="Poppins"/>
              </w:rPr>
              <w:t xml:space="preserve"> </w:t>
            </w:r>
            <w:r w:rsidRPr="003C5557">
              <w:rPr>
                <w:rFonts w:ascii="Poppins" w:hAnsi="Poppins" w:cs="Poppins"/>
              </w:rPr>
              <w:t>will</w:t>
            </w:r>
            <w:r w:rsidR="0048565A">
              <w:rPr>
                <w:rFonts w:ascii="Poppins" w:hAnsi="Poppins" w:cs="Poppins"/>
              </w:rPr>
              <w:t xml:space="preserve"> </w:t>
            </w:r>
            <w:r w:rsidRPr="003C5557">
              <w:rPr>
                <w:rFonts w:ascii="Poppins" w:hAnsi="Poppins" w:cs="Poppins"/>
              </w:rPr>
              <w:t>be completed once this RAP reaches its</w:t>
            </w:r>
            <w:r w:rsidR="004950C6">
              <w:rPr>
                <w:rFonts w:ascii="Poppins" w:hAnsi="Poppins" w:cs="Poppins"/>
              </w:rPr>
              <w:t xml:space="preserve"> </w:t>
            </w:r>
            <w:r w:rsidRPr="003C5557">
              <w:rPr>
                <w:rFonts w:ascii="Poppins" w:hAnsi="Poppins" w:cs="Poppins"/>
              </w:rPr>
              <w:t>expiry</w:t>
            </w:r>
            <w:r w:rsidR="004950C6">
              <w:rPr>
                <w:rFonts w:ascii="Poppins" w:hAnsi="Poppins" w:cs="Poppins"/>
              </w:rPr>
              <w:t xml:space="preserve"> </w:t>
            </w:r>
            <w:r w:rsidRPr="003C5557">
              <w:rPr>
                <w:rFonts w:ascii="Poppins" w:hAnsi="Poppins" w:cs="Poppins"/>
              </w:rPr>
              <w:t>in July 2027.</w:t>
            </w:r>
          </w:p>
        </w:tc>
        <w:tc>
          <w:tcPr>
            <w:tcW w:w="1050" w:type="dxa"/>
            <w:shd w:val="clear" w:color="auto" w:fill="FFE8BC" w:themeFill="accent3" w:themeFillTint="66"/>
          </w:tcPr>
          <w:p w14:paraId="41F36852" w14:textId="088091E1" w:rsidR="0061013E" w:rsidRPr="003C5557" w:rsidRDefault="78175D0B" w:rsidP="008614D2">
            <w:pPr>
              <w:pStyle w:val="BodyText"/>
              <w:cnfStyle w:val="000000000000" w:firstRow="0" w:lastRow="0" w:firstColumn="0" w:lastColumn="0" w:oddVBand="0" w:evenVBand="0" w:oddHBand="0" w:evenHBand="0" w:firstRowFirstColumn="0" w:firstRowLastColumn="0" w:lastRowFirstColumn="0" w:lastRowLastColumn="0"/>
            </w:pPr>
            <w:r w:rsidRPr="7E33A643">
              <w:rPr>
                <w:rFonts w:ascii="Poppins" w:hAnsi="Poppins" w:cs="Poppins"/>
              </w:rPr>
              <w:t>Monitor</w:t>
            </w:r>
          </w:p>
        </w:tc>
      </w:tr>
      <w:tr w:rsidR="0061013E" w:rsidRPr="006949AB" w14:paraId="435C633D" w14:textId="7B7AD5EF" w:rsidTr="139CF35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2" w:type="dxa"/>
            <w:shd w:val="clear" w:color="auto" w:fill="auto"/>
          </w:tcPr>
          <w:p w14:paraId="56FD9FF1" w14:textId="54D9C1BF" w:rsidR="0061013E" w:rsidRPr="006949AB" w:rsidRDefault="0061013E" w:rsidP="008614D2">
            <w:pPr>
              <w:pStyle w:val="BodyText"/>
              <w:rPr>
                <w:rFonts w:ascii="Poppins" w:hAnsi="Poppins" w:cs="Poppins"/>
              </w:rPr>
            </w:pPr>
            <w:r>
              <w:rPr>
                <w:rFonts w:ascii="Poppins" w:hAnsi="Poppins" w:cs="Poppins"/>
              </w:rPr>
              <w:t xml:space="preserve">18 </w:t>
            </w:r>
            <w:r w:rsidRPr="00504152">
              <w:rPr>
                <w:rFonts w:ascii="Poppins" w:hAnsi="Poppins" w:cs="Poppins"/>
              </w:rPr>
              <w:t>Continue our reconciliation journey by developing our next RAP.  </w:t>
            </w:r>
          </w:p>
        </w:tc>
        <w:tc>
          <w:tcPr>
            <w:tcW w:w="2798" w:type="dxa"/>
            <w:shd w:val="clear" w:color="auto" w:fill="auto"/>
          </w:tcPr>
          <w:p w14:paraId="5AEDC6D4" w14:textId="6B122A02" w:rsidR="0061013E" w:rsidRPr="006949AB"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r>
              <w:rPr>
                <w:rFonts w:ascii="Poppins" w:hAnsi="Poppins" w:cs="Poppins"/>
              </w:rPr>
              <w:t xml:space="preserve">18.1 </w:t>
            </w:r>
            <w:r w:rsidRPr="00B80183">
              <w:rPr>
                <w:rFonts w:ascii="Poppins" w:hAnsi="Poppins" w:cs="Poppins"/>
              </w:rPr>
              <w:t>Register via Reconciliation Australia’s</w:t>
            </w:r>
            <w:r w:rsidR="004950C6">
              <w:rPr>
                <w:rFonts w:ascii="Poppins" w:hAnsi="Poppins" w:cs="Poppins"/>
              </w:rPr>
              <w:t xml:space="preserve"> </w:t>
            </w:r>
            <w:hyperlink r:id="rId18" w:tgtFrame="_blank" w:history="1">
              <w:r w:rsidRPr="00B80183">
                <w:rPr>
                  <w:rStyle w:val="Hyperlink"/>
                  <w:rFonts w:ascii="Poppins" w:hAnsi="Poppins" w:cs="Poppins"/>
                </w:rPr>
                <w:t>website</w:t>
              </w:r>
            </w:hyperlink>
            <w:r w:rsidR="004950C6">
              <w:rPr>
                <w:rFonts w:ascii="Poppins" w:hAnsi="Poppins" w:cs="Poppins"/>
              </w:rPr>
              <w:t xml:space="preserve"> </w:t>
            </w:r>
            <w:r w:rsidRPr="00B80183">
              <w:rPr>
                <w:rFonts w:ascii="Poppins" w:hAnsi="Poppins" w:cs="Poppins"/>
              </w:rPr>
              <w:t>to begin developing our next RAP.</w:t>
            </w:r>
          </w:p>
        </w:tc>
        <w:tc>
          <w:tcPr>
            <w:tcW w:w="3811" w:type="dxa"/>
            <w:shd w:val="clear" w:color="auto" w:fill="FFFFFF" w:themeFill="background1"/>
          </w:tcPr>
          <w:p w14:paraId="6EF18A88" w14:textId="2778004B" w:rsidR="0061013E" w:rsidRPr="006949AB" w:rsidRDefault="4DD3CF80" w:rsidP="008614D2">
            <w:pPr>
              <w:pStyle w:val="BodyText"/>
              <w:cnfStyle w:val="000000010000" w:firstRow="0" w:lastRow="0" w:firstColumn="0" w:lastColumn="0" w:oddVBand="0" w:evenVBand="0" w:oddHBand="0" w:evenHBand="1" w:firstRowFirstColumn="0" w:firstRowLastColumn="0" w:lastRowFirstColumn="0" w:lastRowLastColumn="0"/>
            </w:pPr>
            <w:r w:rsidRPr="1DE344A7">
              <w:rPr>
                <w:rFonts w:ascii="Poppins" w:hAnsi="Poppins" w:cs="Poppins"/>
              </w:rPr>
              <w:t>An additional</w:t>
            </w:r>
            <w:r w:rsidRPr="003A7F41">
              <w:rPr>
                <w:rFonts w:ascii="Poppins" w:hAnsi="Poppins" w:cs="Poppins"/>
              </w:rPr>
              <w:t xml:space="preserve"> Council briefing will be undertaken in Year two of this Plan to determine future steps for consideration of next iteration of RAP.</w:t>
            </w:r>
          </w:p>
        </w:tc>
        <w:tc>
          <w:tcPr>
            <w:tcW w:w="1050" w:type="dxa"/>
            <w:shd w:val="clear" w:color="auto" w:fill="FFE8BC" w:themeFill="accent3" w:themeFillTint="66"/>
          </w:tcPr>
          <w:p w14:paraId="7E26B7D7" w14:textId="77777777" w:rsidR="0061013E" w:rsidRDefault="0061013E" w:rsidP="008614D2">
            <w:pPr>
              <w:pStyle w:val="BodyText"/>
              <w:cnfStyle w:val="000000010000" w:firstRow="0" w:lastRow="0" w:firstColumn="0" w:lastColumn="0" w:oddVBand="0" w:evenVBand="0" w:oddHBand="0" w:evenHBand="1" w:firstRowFirstColumn="0" w:firstRowLastColumn="0" w:lastRowFirstColumn="0" w:lastRowLastColumn="0"/>
              <w:rPr>
                <w:rFonts w:ascii="Poppins" w:hAnsi="Poppins" w:cs="Poppins"/>
              </w:rPr>
            </w:pPr>
          </w:p>
          <w:p w14:paraId="5873F0C2" w14:textId="6DEEE6D8" w:rsidR="00DF22A0" w:rsidRPr="00DF22A0" w:rsidRDefault="38AAD6BA" w:rsidP="00DF22A0">
            <w:pPr>
              <w:cnfStyle w:val="000000010000" w:firstRow="0" w:lastRow="0" w:firstColumn="0" w:lastColumn="0" w:oddVBand="0" w:evenVBand="0" w:oddHBand="0" w:evenHBand="1" w:firstRowFirstColumn="0" w:firstRowLastColumn="0" w:lastRowFirstColumn="0" w:lastRowLastColumn="0"/>
            </w:pPr>
            <w:r>
              <w:t>Monitor</w:t>
            </w:r>
          </w:p>
          <w:p w14:paraId="4D56C3D0" w14:textId="77777777" w:rsidR="00DF22A0" w:rsidRPr="00DF22A0" w:rsidRDefault="00DF22A0" w:rsidP="00DF22A0">
            <w:pPr>
              <w:cnfStyle w:val="000000010000" w:firstRow="0" w:lastRow="0" w:firstColumn="0" w:lastColumn="0" w:oddVBand="0" w:evenVBand="0" w:oddHBand="0" w:evenHBand="1" w:firstRowFirstColumn="0" w:firstRowLastColumn="0" w:lastRowFirstColumn="0" w:lastRowLastColumn="0"/>
            </w:pPr>
          </w:p>
          <w:p w14:paraId="326E3D6B" w14:textId="77777777" w:rsidR="00DF22A0" w:rsidRPr="00DF22A0" w:rsidRDefault="00DF22A0" w:rsidP="00DF22A0">
            <w:pPr>
              <w:cnfStyle w:val="000000010000" w:firstRow="0" w:lastRow="0" w:firstColumn="0" w:lastColumn="0" w:oddVBand="0" w:evenVBand="0" w:oddHBand="0" w:evenHBand="1" w:firstRowFirstColumn="0" w:firstRowLastColumn="0" w:lastRowFirstColumn="0" w:lastRowLastColumn="0"/>
            </w:pPr>
          </w:p>
        </w:tc>
      </w:tr>
    </w:tbl>
    <w:p w14:paraId="2C195BE5" w14:textId="77777777" w:rsidR="00801B89" w:rsidRPr="006949AB" w:rsidRDefault="00801B89" w:rsidP="00DF22A0">
      <w:pPr>
        <w:pStyle w:val="BodyText"/>
        <w:rPr>
          <w:sz w:val="16"/>
          <w:szCs w:val="16"/>
        </w:rPr>
      </w:pPr>
    </w:p>
    <w:sectPr w:rsidR="00801B89" w:rsidRPr="006949AB" w:rsidSect="00A24950">
      <w:headerReference w:type="default" r:id="rId19"/>
      <w:pgSz w:w="11907" w:h="16839" w:code="9"/>
      <w:pgMar w:top="1134" w:right="1134" w:bottom="1134" w:left="1134" w:header="28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D6D5" w14:textId="77777777" w:rsidR="004D4733" w:rsidRDefault="004D4733" w:rsidP="002B7185">
      <w:r>
        <w:rPr>
          <w:noProof/>
        </w:rPr>
        <w:pict w14:anchorId="2F064D7D">
          <v:rect id="_x0000_i1027" style="width:.45pt;height:.05pt" o:hrpct="1" o:hralign="center" o:hrstd="t" o:hr="t" fillcolor="#a0a0a0" stroked="f"/>
        </w:pict>
      </w:r>
    </w:p>
    <w:p w14:paraId="182664A6" w14:textId="77777777" w:rsidR="004D4733" w:rsidRDefault="004D4733" w:rsidP="002B7185"/>
  </w:endnote>
  <w:endnote w:type="continuationSeparator" w:id="0">
    <w:p w14:paraId="79812873" w14:textId="77777777" w:rsidR="004D4733" w:rsidRDefault="004D4733" w:rsidP="002B7185">
      <w:r>
        <w:rPr>
          <w:noProof/>
        </w:rPr>
        <w:pict w14:anchorId="5719D281">
          <v:rect id="_x0000_i1028" style="width:.45pt;height:.05pt" o:hrpct="1" o:hralign="center" o:hrstd="t" o:hr="t" fillcolor="#a0a0a0" stroked="f"/>
        </w:pict>
      </w:r>
    </w:p>
    <w:p w14:paraId="6AF9B8F7" w14:textId="77777777" w:rsidR="004D4733" w:rsidRDefault="004D4733" w:rsidP="002B7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2C48C537-240F-4A5D-8E5F-65D9BA369F23}"/>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embedRegular r:id="rId2" w:fontKey="{232D22A0-A51B-4CCF-8906-2A9FFCE8DBE0}"/>
    <w:embedBold r:id="rId3" w:fontKey="{3161C42E-9B06-45C3-8CE5-F0D08872998E}"/>
    <w:embedItalic r:id="rId4" w:fontKey="{B852F017-F029-425B-AF42-C27607059895}"/>
    <w:embedBoldItalic r:id="rId5" w:fontKey="{457F1ACB-87D2-4842-8AC1-D0CD8DFD5FF7}"/>
  </w:font>
  <w:font w:name="Poppins SemiBold">
    <w:panose1 w:val="00000700000000000000"/>
    <w:charset w:val="00"/>
    <w:family w:val="auto"/>
    <w:pitch w:val="variable"/>
    <w:sig w:usb0="00008007" w:usb1="00000000" w:usb2="00000000" w:usb3="00000000" w:csb0="00000093" w:csb1="00000000"/>
    <w:embedRegular r:id="rId6" w:fontKey="{3F30A592-3627-4FB0-ADA5-77C201C6F938}"/>
    <w:embedBold r:id="rId7" w:fontKey="{03B743C2-CF0C-41B2-9F6A-E33EA0ACDB19}"/>
    <w:embedItalic r:id="rId8" w:fontKey="{7CD567EA-A2E6-447A-9916-625ED9DFB7C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Italic r:id="rId9" w:fontKey="{8D5E944F-DC92-4820-8D3A-AAA5F9C3C291}"/>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0" w:fontKey="{46859CB3-77F1-496B-8DD0-9C405BAAD2C4}"/>
  </w:font>
  <w:font w:name="Calibri">
    <w:panose1 w:val="020F0502020204030204"/>
    <w:charset w:val="00"/>
    <w:family w:val="swiss"/>
    <w:pitch w:val="variable"/>
    <w:sig w:usb0="E4002EFF" w:usb1="C200247B" w:usb2="00000009" w:usb3="00000000" w:csb0="000001FF" w:csb1="00000000"/>
    <w:embedRegular r:id="rId11" w:fontKey="{B08FCF48-317C-40C0-AA45-AC0A1154568F}"/>
  </w:font>
  <w:font w:name="Segoe UI">
    <w:panose1 w:val="020B0502040204020203"/>
    <w:charset w:val="00"/>
    <w:family w:val="swiss"/>
    <w:pitch w:val="variable"/>
    <w:sig w:usb0="E4002EFF" w:usb1="C000E47F" w:usb2="00000009" w:usb3="00000000" w:csb0="000001FF" w:csb1="00000000"/>
    <w:embedRegular r:id="rId12" w:fontKey="{A6AB1F1A-31EE-4D1D-B5E7-F8E0D9D6C8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9EAE" w14:textId="77777777" w:rsidR="005A12C1" w:rsidRPr="004F0638" w:rsidRDefault="005A12C1" w:rsidP="004F0638">
    <w:pPr>
      <w:pStyle w:val="FooterLine"/>
    </w:pPr>
  </w:p>
  <w:p w14:paraId="72406BC6" w14:textId="77777777" w:rsidR="005A12C1" w:rsidRDefault="005A12C1" w:rsidP="003413EC">
    <w:pPr>
      <w:pStyle w:val="FooterPageNumber"/>
      <w:framePr w:wrap="around"/>
    </w:pPr>
    <w:r>
      <w:t xml:space="preserve">Page </w:t>
    </w:r>
    <w:r>
      <w:rPr>
        <w:noProof w:val="0"/>
      </w:rPr>
      <w:fldChar w:fldCharType="begin"/>
    </w:r>
    <w:r>
      <w:instrText xml:space="preserve"> PAGE   \* MERGEFORMAT </w:instrText>
    </w:r>
    <w:r>
      <w:rPr>
        <w:noProof w:val="0"/>
      </w:rPr>
      <w:fldChar w:fldCharType="separate"/>
    </w:r>
    <w:r>
      <w:t>4</w:t>
    </w:r>
    <w:r>
      <w:fldChar w:fldCharType="end"/>
    </w:r>
    <w:r>
      <w:t xml:space="preserve"> of </w:t>
    </w:r>
    <w:fldSimple w:instr="NUMPAGES   \* MERGEFORMAT">
      <w:r>
        <w:t>5</w:t>
      </w:r>
    </w:fldSimple>
  </w:p>
  <w:p w14:paraId="2C7380CB" w14:textId="77777777" w:rsidR="005A12C1" w:rsidRPr="003413EC" w:rsidRDefault="005A12C1" w:rsidP="00341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5EE1C" w14:textId="77777777" w:rsidR="004D4733" w:rsidRPr="00026DC2" w:rsidRDefault="004D4733" w:rsidP="007A42F5">
      <w:pPr>
        <w:ind w:right="7370"/>
      </w:pPr>
      <w:r>
        <w:rPr>
          <w:noProof/>
        </w:rPr>
        <w:pict w14:anchorId="3A67FEDB">
          <v:rect id="_x0000_i1025" style="width:.1pt;height:.05pt" o:hrpct="1" o:hralign="center" o:hrstd="t" o:hr="t" fillcolor="#a0a0a0" stroked="f"/>
        </w:pict>
      </w:r>
    </w:p>
  </w:footnote>
  <w:footnote w:type="continuationSeparator" w:id="0">
    <w:p w14:paraId="20B2512F" w14:textId="77777777" w:rsidR="004D4733" w:rsidRDefault="004D4733" w:rsidP="007A42F5">
      <w:pPr>
        <w:ind w:right="7370"/>
      </w:pPr>
      <w:r>
        <w:rPr>
          <w:noProof/>
        </w:rPr>
        <w:pict w14:anchorId="275A02D7">
          <v:rect id="_x0000_i1026" style="width:.45pt;height:.05pt" o:hrpct="1" o:hralign="center" o:hrstd="t" o:hr="t" fillcolor="#a0a0a0" stroked="f"/>
        </w:pict>
      </w:r>
    </w:p>
  </w:footnote>
  <w:footnote w:type="continuationNotice" w:id="1">
    <w:p w14:paraId="246402F4" w14:textId="77777777" w:rsidR="004D4733" w:rsidRDefault="004D4733" w:rsidP="002B71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EDAA" w14:textId="77777777" w:rsidR="005A12C1" w:rsidRPr="009F595F" w:rsidRDefault="005A12C1" w:rsidP="00CC2E31">
    <w:pPr>
      <w:pStyle w:val="Header"/>
      <w:tabs>
        <w:tab w:val="clear" w:pos="1860"/>
        <w:tab w:val="clear" w:pos="2730"/>
        <w:tab w:val="left" w:pos="7785"/>
      </w:tabs>
    </w:pPr>
    <w:r>
      <w:rPr>
        <w:noProof/>
      </w:rPr>
      <mc:AlternateContent>
        <mc:Choice Requires="wps">
          <w:drawing>
            <wp:anchor distT="0" distB="0" distL="114300" distR="114300" simplePos="0" relativeHeight="251658240" behindDoc="1" locked="1" layoutInCell="1" allowOverlap="1" wp14:anchorId="72B3D4F8" wp14:editId="77FE35A3">
              <wp:simplePos x="0" y="0"/>
              <wp:positionH relativeFrom="page">
                <wp:posOffset>0</wp:posOffset>
              </wp:positionH>
              <wp:positionV relativeFrom="page">
                <wp:posOffset>0</wp:posOffset>
              </wp:positionV>
              <wp:extent cx="7560000" cy="10692000"/>
              <wp:effectExtent l="0" t="0" r="3175" b="0"/>
              <wp:wrapNone/>
              <wp:docPr id="2004643854" name="Background"/>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C7DA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F39A8BE">
            <v:rect id="Background" style="position:absolute;margin-left:0;margin-top:0;width:595.3pt;height:84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c7daff" stroked="f" strokeweight="2pt" w14:anchorId="75F15A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">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B0E" w14:textId="77777777" w:rsidR="004A3916" w:rsidRPr="009F595F" w:rsidRDefault="004A3916" w:rsidP="00CC2E31">
    <w:pPr>
      <w:pStyle w:val="Header"/>
      <w:tabs>
        <w:tab w:val="clear" w:pos="1860"/>
        <w:tab w:val="clear" w:pos="2730"/>
        <w:tab w:val="left" w:pos="77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8ED"/>
    <w:multiLevelType w:val="hybridMultilevel"/>
    <w:tmpl w:val="C414D80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543FC2"/>
    <w:multiLevelType w:val="multilevel"/>
    <w:tmpl w:val="2A8C9836"/>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B3C3F52"/>
    <w:multiLevelType w:val="multilevel"/>
    <w:tmpl w:val="1C705BF2"/>
    <w:lvl w:ilvl="0">
      <w:start w:val="1"/>
      <w:numFmt w:val="decimal"/>
      <w:pStyle w:val="NotesNumbered"/>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13D634EA"/>
    <w:multiLevelType w:val="hybridMultilevel"/>
    <w:tmpl w:val="46D001C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13DB7B61"/>
    <w:multiLevelType w:val="hybridMultilevel"/>
    <w:tmpl w:val="3A3EA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1E437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1E4371" w:themeColor="text2"/>
        <w:position w:val="2"/>
        <w:sz w:val="20"/>
      </w:rPr>
    </w:lvl>
    <w:lvl w:ilvl="2">
      <w:start w:val="1"/>
      <w:numFmt w:val="bullet"/>
      <w:lvlText w:val="–"/>
      <w:lvlJc w:val="left"/>
      <w:pPr>
        <w:tabs>
          <w:tab w:val="num" w:pos="1361"/>
        </w:tabs>
        <w:ind w:left="1361" w:hanging="340"/>
      </w:pPr>
      <w:rPr>
        <w:rFonts w:ascii="Arial" w:hAnsi="Arial" w:hint="default"/>
        <w:color w:val="1E437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BB06973"/>
    <w:multiLevelType w:val="multilevel"/>
    <w:tmpl w:val="4606BA12"/>
    <w:styleLink w:val="List-Bullets"/>
    <w:lvl w:ilvl="0">
      <w:start w:val="1"/>
      <w:numFmt w:val="bullet"/>
      <w:pStyle w:val="ListBullet"/>
      <w:lvlText w:val="–"/>
      <w:lvlJc w:val="left"/>
      <w:pPr>
        <w:ind w:left="227" w:hanging="227"/>
      </w:pPr>
      <w:rPr>
        <w:rFonts w:ascii="Poppins" w:hAnsi="Poppins" w:hint="default"/>
      </w:rPr>
    </w:lvl>
    <w:lvl w:ilvl="1">
      <w:start w:val="1"/>
      <w:numFmt w:val="bullet"/>
      <w:pStyle w:val="ListBullet2"/>
      <w:lvlText w:val="–"/>
      <w:lvlJc w:val="left"/>
      <w:pPr>
        <w:ind w:left="454" w:hanging="227"/>
      </w:pPr>
      <w:rPr>
        <w:rFonts w:ascii="Poppins" w:hAnsi="Poppins" w:hint="default"/>
      </w:rPr>
    </w:lvl>
    <w:lvl w:ilvl="2">
      <w:start w:val="1"/>
      <w:numFmt w:val="bullet"/>
      <w:pStyle w:val="ListBullet3"/>
      <w:lvlText w:val="–"/>
      <w:lvlJc w:val="left"/>
      <w:pPr>
        <w:ind w:left="681" w:hanging="227"/>
      </w:pPr>
      <w:rPr>
        <w:rFonts w:ascii="Poppins" w:hAnsi="Poppins" w:hint="default"/>
      </w:rPr>
    </w:lvl>
    <w:lvl w:ilvl="3">
      <w:start w:val="1"/>
      <w:numFmt w:val="bullet"/>
      <w:lvlText w:val=""/>
      <w:lvlJc w:val="left"/>
      <w:pPr>
        <w:tabs>
          <w:tab w:val="num" w:pos="1758"/>
        </w:tabs>
        <w:ind w:left="908" w:hanging="227"/>
      </w:pPr>
      <w:rPr>
        <w:rFonts w:ascii="Symbol" w:hAnsi="Symbol" w:hint="default"/>
      </w:rPr>
    </w:lvl>
    <w:lvl w:ilvl="4">
      <w:start w:val="1"/>
      <w:numFmt w:val="bullet"/>
      <w:lvlText w:val="o"/>
      <w:lvlJc w:val="left"/>
      <w:pPr>
        <w:tabs>
          <w:tab w:val="num" w:pos="2155"/>
        </w:tabs>
        <w:ind w:left="1135" w:hanging="227"/>
      </w:pPr>
      <w:rPr>
        <w:rFonts w:ascii="Courier New" w:hAnsi="Courier New" w:cs="Courier New" w:hint="default"/>
      </w:rPr>
    </w:lvl>
    <w:lvl w:ilvl="5">
      <w:start w:val="1"/>
      <w:numFmt w:val="bullet"/>
      <w:lvlText w:val=""/>
      <w:lvlJc w:val="left"/>
      <w:pPr>
        <w:tabs>
          <w:tab w:val="num" w:pos="2552"/>
        </w:tabs>
        <w:ind w:left="1362" w:hanging="227"/>
      </w:pPr>
      <w:rPr>
        <w:rFonts w:ascii="Wingdings" w:hAnsi="Wingdings" w:hint="default"/>
      </w:rPr>
    </w:lvl>
    <w:lvl w:ilvl="6">
      <w:start w:val="1"/>
      <w:numFmt w:val="bullet"/>
      <w:lvlText w:val=""/>
      <w:lvlJc w:val="left"/>
      <w:pPr>
        <w:tabs>
          <w:tab w:val="num" w:pos="2949"/>
        </w:tabs>
        <w:ind w:left="1589" w:hanging="227"/>
      </w:pPr>
      <w:rPr>
        <w:rFonts w:ascii="Symbol" w:hAnsi="Symbol" w:hint="default"/>
      </w:rPr>
    </w:lvl>
    <w:lvl w:ilvl="7">
      <w:start w:val="1"/>
      <w:numFmt w:val="bullet"/>
      <w:lvlText w:val="o"/>
      <w:lvlJc w:val="left"/>
      <w:pPr>
        <w:tabs>
          <w:tab w:val="num" w:pos="3346"/>
        </w:tabs>
        <w:ind w:left="1816" w:hanging="227"/>
      </w:pPr>
      <w:rPr>
        <w:rFonts w:ascii="Courier New" w:hAnsi="Courier New" w:cs="Courier New" w:hint="default"/>
      </w:rPr>
    </w:lvl>
    <w:lvl w:ilvl="8">
      <w:start w:val="1"/>
      <w:numFmt w:val="bullet"/>
      <w:lvlText w:val=""/>
      <w:lvlJc w:val="left"/>
      <w:pPr>
        <w:tabs>
          <w:tab w:val="num" w:pos="3743"/>
        </w:tabs>
        <w:ind w:left="2043" w:hanging="227"/>
      </w:pPr>
      <w:rPr>
        <w:rFonts w:ascii="Wingdings" w:hAnsi="Wingdings" w:hint="default"/>
      </w:rPr>
    </w:lvl>
  </w:abstractNum>
  <w:abstractNum w:abstractNumId="9" w15:restartNumberingAfterBreak="0">
    <w:nsid w:val="24ED51B0"/>
    <w:multiLevelType w:val="multilevel"/>
    <w:tmpl w:val="263C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80DAD87"/>
    <w:multiLevelType w:val="hybridMultilevel"/>
    <w:tmpl w:val="FFFFFFFF"/>
    <w:lvl w:ilvl="0" w:tplc="42E23762">
      <w:start w:val="1"/>
      <w:numFmt w:val="bullet"/>
      <w:lvlText w:val="o"/>
      <w:lvlJc w:val="left"/>
      <w:pPr>
        <w:ind w:left="720" w:hanging="360"/>
      </w:pPr>
      <w:rPr>
        <w:rFonts w:ascii="Courier New" w:hAnsi="Courier New" w:hint="default"/>
      </w:rPr>
    </w:lvl>
    <w:lvl w:ilvl="1" w:tplc="08527B18">
      <w:start w:val="1"/>
      <w:numFmt w:val="bullet"/>
      <w:lvlText w:val="o"/>
      <w:lvlJc w:val="left"/>
      <w:pPr>
        <w:ind w:left="1440" w:hanging="360"/>
      </w:pPr>
      <w:rPr>
        <w:rFonts w:ascii="Courier New" w:hAnsi="Courier New" w:hint="default"/>
      </w:rPr>
    </w:lvl>
    <w:lvl w:ilvl="2" w:tplc="A6C0A592">
      <w:start w:val="1"/>
      <w:numFmt w:val="bullet"/>
      <w:lvlText w:val=""/>
      <w:lvlJc w:val="left"/>
      <w:pPr>
        <w:ind w:left="2160" w:hanging="360"/>
      </w:pPr>
      <w:rPr>
        <w:rFonts w:ascii="Wingdings" w:hAnsi="Wingdings" w:hint="default"/>
      </w:rPr>
    </w:lvl>
    <w:lvl w:ilvl="3" w:tplc="3CB2FB22">
      <w:start w:val="1"/>
      <w:numFmt w:val="bullet"/>
      <w:lvlText w:val=""/>
      <w:lvlJc w:val="left"/>
      <w:pPr>
        <w:ind w:left="2880" w:hanging="360"/>
      </w:pPr>
      <w:rPr>
        <w:rFonts w:ascii="Symbol" w:hAnsi="Symbol" w:hint="default"/>
      </w:rPr>
    </w:lvl>
    <w:lvl w:ilvl="4" w:tplc="F078F514">
      <w:start w:val="1"/>
      <w:numFmt w:val="bullet"/>
      <w:lvlText w:val="o"/>
      <w:lvlJc w:val="left"/>
      <w:pPr>
        <w:ind w:left="3600" w:hanging="360"/>
      </w:pPr>
      <w:rPr>
        <w:rFonts w:ascii="Courier New" w:hAnsi="Courier New" w:hint="default"/>
      </w:rPr>
    </w:lvl>
    <w:lvl w:ilvl="5" w:tplc="9B9EA07E">
      <w:start w:val="1"/>
      <w:numFmt w:val="bullet"/>
      <w:lvlText w:val=""/>
      <w:lvlJc w:val="left"/>
      <w:pPr>
        <w:ind w:left="4320" w:hanging="360"/>
      </w:pPr>
      <w:rPr>
        <w:rFonts w:ascii="Wingdings" w:hAnsi="Wingdings" w:hint="default"/>
      </w:rPr>
    </w:lvl>
    <w:lvl w:ilvl="6" w:tplc="709A4A7E">
      <w:start w:val="1"/>
      <w:numFmt w:val="bullet"/>
      <w:lvlText w:val=""/>
      <w:lvlJc w:val="left"/>
      <w:pPr>
        <w:ind w:left="5040" w:hanging="360"/>
      </w:pPr>
      <w:rPr>
        <w:rFonts w:ascii="Symbol" w:hAnsi="Symbol" w:hint="default"/>
      </w:rPr>
    </w:lvl>
    <w:lvl w:ilvl="7" w:tplc="44C25150">
      <w:start w:val="1"/>
      <w:numFmt w:val="bullet"/>
      <w:lvlText w:val="o"/>
      <w:lvlJc w:val="left"/>
      <w:pPr>
        <w:ind w:left="5760" w:hanging="360"/>
      </w:pPr>
      <w:rPr>
        <w:rFonts w:ascii="Courier New" w:hAnsi="Courier New" w:hint="default"/>
      </w:rPr>
    </w:lvl>
    <w:lvl w:ilvl="8" w:tplc="C01ED4CC">
      <w:start w:val="1"/>
      <w:numFmt w:val="bullet"/>
      <w:lvlText w:val=""/>
      <w:lvlJc w:val="left"/>
      <w:pPr>
        <w:ind w:left="6480" w:hanging="360"/>
      </w:pPr>
      <w:rPr>
        <w:rFonts w:ascii="Wingdings" w:hAnsi="Wingdings" w:hint="default"/>
      </w:rPr>
    </w:lvl>
  </w:abstractNum>
  <w:abstractNum w:abstractNumId="12" w15:restartNumberingAfterBreak="0">
    <w:nsid w:val="2D375209"/>
    <w:multiLevelType w:val="hybridMultilevel"/>
    <w:tmpl w:val="F3780764"/>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93B5978"/>
    <w:multiLevelType w:val="hybridMultilevel"/>
    <w:tmpl w:val="FFFFFFFF"/>
    <w:lvl w:ilvl="0" w:tplc="B8DE92F4">
      <w:start w:val="1"/>
      <w:numFmt w:val="bullet"/>
      <w:lvlText w:val="o"/>
      <w:lvlJc w:val="left"/>
      <w:pPr>
        <w:ind w:left="1080" w:hanging="360"/>
      </w:pPr>
      <w:rPr>
        <w:rFonts w:ascii="Courier New" w:hAnsi="Courier New" w:hint="default"/>
      </w:rPr>
    </w:lvl>
    <w:lvl w:ilvl="1" w:tplc="249E0A6A">
      <w:start w:val="1"/>
      <w:numFmt w:val="bullet"/>
      <w:lvlText w:val="o"/>
      <w:lvlJc w:val="left"/>
      <w:pPr>
        <w:ind w:left="1800" w:hanging="360"/>
      </w:pPr>
      <w:rPr>
        <w:rFonts w:ascii="Courier New" w:hAnsi="Courier New" w:hint="default"/>
      </w:rPr>
    </w:lvl>
    <w:lvl w:ilvl="2" w:tplc="CFD47AE4">
      <w:start w:val="1"/>
      <w:numFmt w:val="bullet"/>
      <w:lvlText w:val=""/>
      <w:lvlJc w:val="left"/>
      <w:pPr>
        <w:ind w:left="2520" w:hanging="360"/>
      </w:pPr>
      <w:rPr>
        <w:rFonts w:ascii="Wingdings" w:hAnsi="Wingdings" w:hint="default"/>
      </w:rPr>
    </w:lvl>
    <w:lvl w:ilvl="3" w:tplc="0F905DDE">
      <w:start w:val="1"/>
      <w:numFmt w:val="bullet"/>
      <w:lvlText w:val=""/>
      <w:lvlJc w:val="left"/>
      <w:pPr>
        <w:ind w:left="3240" w:hanging="360"/>
      </w:pPr>
      <w:rPr>
        <w:rFonts w:ascii="Symbol" w:hAnsi="Symbol" w:hint="default"/>
      </w:rPr>
    </w:lvl>
    <w:lvl w:ilvl="4" w:tplc="742E777E">
      <w:start w:val="1"/>
      <w:numFmt w:val="bullet"/>
      <w:lvlText w:val="o"/>
      <w:lvlJc w:val="left"/>
      <w:pPr>
        <w:ind w:left="3960" w:hanging="360"/>
      </w:pPr>
      <w:rPr>
        <w:rFonts w:ascii="Courier New" w:hAnsi="Courier New" w:hint="default"/>
      </w:rPr>
    </w:lvl>
    <w:lvl w:ilvl="5" w:tplc="7A98B8AA">
      <w:start w:val="1"/>
      <w:numFmt w:val="bullet"/>
      <w:lvlText w:val=""/>
      <w:lvlJc w:val="left"/>
      <w:pPr>
        <w:ind w:left="4680" w:hanging="360"/>
      </w:pPr>
      <w:rPr>
        <w:rFonts w:ascii="Wingdings" w:hAnsi="Wingdings" w:hint="default"/>
      </w:rPr>
    </w:lvl>
    <w:lvl w:ilvl="6" w:tplc="070A8828">
      <w:start w:val="1"/>
      <w:numFmt w:val="bullet"/>
      <w:lvlText w:val=""/>
      <w:lvlJc w:val="left"/>
      <w:pPr>
        <w:ind w:left="5400" w:hanging="360"/>
      </w:pPr>
      <w:rPr>
        <w:rFonts w:ascii="Symbol" w:hAnsi="Symbol" w:hint="default"/>
      </w:rPr>
    </w:lvl>
    <w:lvl w:ilvl="7" w:tplc="CEC05334">
      <w:start w:val="1"/>
      <w:numFmt w:val="bullet"/>
      <w:lvlText w:val="o"/>
      <w:lvlJc w:val="left"/>
      <w:pPr>
        <w:ind w:left="6120" w:hanging="360"/>
      </w:pPr>
      <w:rPr>
        <w:rFonts w:ascii="Courier New" w:hAnsi="Courier New" w:hint="default"/>
      </w:rPr>
    </w:lvl>
    <w:lvl w:ilvl="8" w:tplc="8D1AA3DA">
      <w:start w:val="1"/>
      <w:numFmt w:val="bullet"/>
      <w:lvlText w:val=""/>
      <w:lvlJc w:val="left"/>
      <w:pPr>
        <w:ind w:left="6840" w:hanging="360"/>
      </w:pPr>
      <w:rPr>
        <w:rFonts w:ascii="Wingdings" w:hAnsi="Wingdings" w:hint="default"/>
      </w:rPr>
    </w:lvl>
  </w:abstractNum>
  <w:abstractNum w:abstractNumId="1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1E437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1E437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BB375F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0D03436"/>
    <w:multiLevelType w:val="multilevel"/>
    <w:tmpl w:val="5B3C8C50"/>
    <w:styleLink w:val="List-IndentedBullets"/>
    <w:lvl w:ilvl="0">
      <w:start w:val="1"/>
      <w:numFmt w:val="bullet"/>
      <w:pStyle w:val="IndentBullet1"/>
      <w:lvlText w:val="–"/>
      <w:lvlJc w:val="left"/>
      <w:pPr>
        <w:ind w:left="794" w:hanging="227"/>
      </w:pPr>
      <w:rPr>
        <w:rFonts w:ascii="Poppins" w:hAnsi="Poppins" w:hint="default"/>
      </w:rPr>
    </w:lvl>
    <w:lvl w:ilvl="1">
      <w:start w:val="1"/>
      <w:numFmt w:val="bullet"/>
      <w:pStyle w:val="IndentBullet2"/>
      <w:lvlText w:val="–"/>
      <w:lvlJc w:val="left"/>
      <w:pPr>
        <w:ind w:left="1021" w:hanging="227"/>
      </w:pPr>
      <w:rPr>
        <w:rFonts w:ascii="Poppins" w:hAnsi="Poppins" w:hint="default"/>
      </w:rPr>
    </w:lvl>
    <w:lvl w:ilvl="2">
      <w:start w:val="1"/>
      <w:numFmt w:val="lowerRoman"/>
      <w:lvlText w:val="%3."/>
      <w:lvlJc w:val="right"/>
      <w:pPr>
        <w:ind w:left="1248" w:hanging="227"/>
      </w:pPr>
      <w:rPr>
        <w:rFonts w:hint="default"/>
      </w:rPr>
    </w:lvl>
    <w:lvl w:ilvl="3">
      <w:start w:val="1"/>
      <w:numFmt w:val="decimal"/>
      <w:lvlText w:val="%4."/>
      <w:lvlJc w:val="left"/>
      <w:pPr>
        <w:ind w:left="1475" w:hanging="227"/>
      </w:pPr>
      <w:rPr>
        <w:rFonts w:hint="default"/>
      </w:rPr>
    </w:lvl>
    <w:lvl w:ilvl="4">
      <w:start w:val="1"/>
      <w:numFmt w:val="lowerLetter"/>
      <w:lvlText w:val="%5."/>
      <w:lvlJc w:val="left"/>
      <w:pPr>
        <w:ind w:left="1702" w:hanging="227"/>
      </w:pPr>
      <w:rPr>
        <w:rFonts w:hint="default"/>
      </w:rPr>
    </w:lvl>
    <w:lvl w:ilvl="5">
      <w:start w:val="1"/>
      <w:numFmt w:val="lowerRoman"/>
      <w:lvlText w:val="%6."/>
      <w:lvlJc w:val="right"/>
      <w:pPr>
        <w:ind w:left="1929" w:hanging="227"/>
      </w:pPr>
      <w:rPr>
        <w:rFonts w:hint="default"/>
      </w:rPr>
    </w:lvl>
    <w:lvl w:ilvl="6">
      <w:start w:val="1"/>
      <w:numFmt w:val="decimal"/>
      <w:lvlText w:val="%7."/>
      <w:lvlJc w:val="left"/>
      <w:pPr>
        <w:ind w:left="2156" w:hanging="227"/>
      </w:pPr>
      <w:rPr>
        <w:rFonts w:hint="default"/>
      </w:rPr>
    </w:lvl>
    <w:lvl w:ilvl="7">
      <w:start w:val="1"/>
      <w:numFmt w:val="lowerLetter"/>
      <w:lvlText w:val="%8."/>
      <w:lvlJc w:val="left"/>
      <w:pPr>
        <w:ind w:left="2383" w:hanging="227"/>
      </w:pPr>
      <w:rPr>
        <w:rFonts w:hint="default"/>
      </w:rPr>
    </w:lvl>
    <w:lvl w:ilvl="8">
      <w:start w:val="1"/>
      <w:numFmt w:val="lowerRoman"/>
      <w:lvlText w:val="%9."/>
      <w:lvlJc w:val="right"/>
      <w:pPr>
        <w:ind w:left="2610" w:hanging="227"/>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1E437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8885D37"/>
    <w:multiLevelType w:val="multilevel"/>
    <w:tmpl w:val="AFB419AE"/>
    <w:styleLink w:val="List-Numbering"/>
    <w:lvl w:ilvl="0">
      <w:start w:val="1"/>
      <w:numFmt w:val="decimal"/>
      <w:pStyle w:val="ListNumber"/>
      <w:lvlText w:val="%1."/>
      <w:lvlJc w:val="left"/>
      <w:pPr>
        <w:ind w:left="924" w:hanging="357"/>
      </w:pPr>
      <w:rPr>
        <w:rFonts w:hint="default"/>
      </w:rPr>
    </w:lvl>
    <w:lvl w:ilvl="1">
      <w:start w:val="1"/>
      <w:numFmt w:val="lowerLetter"/>
      <w:pStyle w:val="ListNumber2"/>
      <w:lvlText w:val="%2)"/>
      <w:lvlJc w:val="left"/>
      <w:pPr>
        <w:ind w:left="1281" w:hanging="357"/>
      </w:pPr>
      <w:rPr>
        <w:rFonts w:hint="default"/>
      </w:rPr>
    </w:lvl>
    <w:lvl w:ilvl="2">
      <w:start w:val="1"/>
      <w:numFmt w:val="lowerRoman"/>
      <w:pStyle w:val="ListNumber3"/>
      <w:lvlText w:val="%3)"/>
      <w:lvlJc w:val="left"/>
      <w:pPr>
        <w:ind w:left="1638" w:hanging="357"/>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abstractNum w:abstractNumId="23" w15:restartNumberingAfterBreak="0">
    <w:nsid w:val="4AA27F2E"/>
    <w:multiLevelType w:val="multilevel"/>
    <w:tmpl w:val="13760512"/>
    <w:name w:val="Bullets"/>
    <w:lvl w:ilvl="0">
      <w:start w:val="1"/>
      <w:numFmt w:val="bullet"/>
      <w:lvlText w:val="–"/>
      <w:lvlJc w:val="left"/>
      <w:pPr>
        <w:ind w:left="227" w:hanging="227"/>
      </w:pPr>
      <w:rPr>
        <w:rFonts w:ascii="Poppins" w:hAnsi="Poppins" w:hint="default"/>
      </w:rPr>
    </w:lvl>
    <w:lvl w:ilvl="1">
      <w:start w:val="1"/>
      <w:numFmt w:val="bullet"/>
      <w:lvlText w:val="–"/>
      <w:lvlJc w:val="left"/>
      <w:pPr>
        <w:ind w:left="454" w:hanging="227"/>
      </w:pPr>
      <w:rPr>
        <w:rFonts w:ascii="Poppins" w:hAnsi="Poppins" w:hint="default"/>
      </w:rPr>
    </w:lvl>
    <w:lvl w:ilvl="2">
      <w:start w:val="1"/>
      <w:numFmt w:val="bullet"/>
      <w:lvlText w:val="–"/>
      <w:lvlJc w:val="left"/>
      <w:pPr>
        <w:ind w:left="681" w:hanging="227"/>
      </w:pPr>
      <w:rPr>
        <w:rFonts w:ascii="Poppins" w:hAnsi="Poppins" w:hint="default"/>
      </w:rPr>
    </w:lvl>
    <w:lvl w:ilvl="3">
      <w:start w:val="1"/>
      <w:numFmt w:val="bullet"/>
      <w:lvlText w:val=""/>
      <w:lvlJc w:val="left"/>
      <w:pPr>
        <w:tabs>
          <w:tab w:val="num" w:pos="1758"/>
        </w:tabs>
        <w:ind w:left="908" w:hanging="227"/>
      </w:pPr>
      <w:rPr>
        <w:rFonts w:ascii="Symbol" w:hAnsi="Symbol" w:hint="default"/>
      </w:rPr>
    </w:lvl>
    <w:lvl w:ilvl="4">
      <w:start w:val="1"/>
      <w:numFmt w:val="bullet"/>
      <w:lvlText w:val="o"/>
      <w:lvlJc w:val="left"/>
      <w:pPr>
        <w:tabs>
          <w:tab w:val="num" w:pos="2155"/>
        </w:tabs>
        <w:ind w:left="1135" w:hanging="227"/>
      </w:pPr>
      <w:rPr>
        <w:rFonts w:ascii="Courier New" w:hAnsi="Courier New" w:cs="Courier New" w:hint="default"/>
      </w:rPr>
    </w:lvl>
    <w:lvl w:ilvl="5">
      <w:start w:val="1"/>
      <w:numFmt w:val="bullet"/>
      <w:lvlText w:val=""/>
      <w:lvlJc w:val="left"/>
      <w:pPr>
        <w:tabs>
          <w:tab w:val="num" w:pos="2552"/>
        </w:tabs>
        <w:ind w:left="1362" w:hanging="227"/>
      </w:pPr>
      <w:rPr>
        <w:rFonts w:ascii="Wingdings" w:hAnsi="Wingdings" w:hint="default"/>
      </w:rPr>
    </w:lvl>
    <w:lvl w:ilvl="6">
      <w:start w:val="1"/>
      <w:numFmt w:val="bullet"/>
      <w:lvlText w:val=""/>
      <w:lvlJc w:val="left"/>
      <w:pPr>
        <w:tabs>
          <w:tab w:val="num" w:pos="2949"/>
        </w:tabs>
        <w:ind w:left="1589" w:hanging="227"/>
      </w:pPr>
      <w:rPr>
        <w:rFonts w:ascii="Symbol" w:hAnsi="Symbol" w:hint="default"/>
      </w:rPr>
    </w:lvl>
    <w:lvl w:ilvl="7">
      <w:start w:val="1"/>
      <w:numFmt w:val="bullet"/>
      <w:lvlText w:val="o"/>
      <w:lvlJc w:val="left"/>
      <w:pPr>
        <w:tabs>
          <w:tab w:val="num" w:pos="3346"/>
        </w:tabs>
        <w:ind w:left="1816" w:hanging="227"/>
      </w:pPr>
      <w:rPr>
        <w:rFonts w:ascii="Courier New" w:hAnsi="Courier New" w:cs="Courier New" w:hint="default"/>
      </w:rPr>
    </w:lvl>
    <w:lvl w:ilvl="8">
      <w:start w:val="1"/>
      <w:numFmt w:val="bullet"/>
      <w:lvlText w:val=""/>
      <w:lvlJc w:val="left"/>
      <w:pPr>
        <w:tabs>
          <w:tab w:val="num" w:pos="3743"/>
        </w:tabs>
        <w:ind w:left="2043" w:hanging="227"/>
      </w:pPr>
      <w:rPr>
        <w:rFonts w:ascii="Wingdings" w:hAnsi="Wingdings" w:hint="default"/>
      </w:rPr>
    </w:lvl>
  </w:abstractNum>
  <w:abstractNum w:abstractNumId="2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5" w15:restartNumberingAfterBreak="0">
    <w:nsid w:val="533157A3"/>
    <w:multiLevelType w:val="multilevel"/>
    <w:tmpl w:val="F5FC6E7A"/>
    <w:name w:val="NumberedHeadings"/>
    <w:lvl w:ilvl="0">
      <w:start w:val="1"/>
      <w:numFmt w:val="decimal"/>
      <w:lvlText w:val="%1."/>
      <w:lvlJc w:val="left"/>
      <w:pPr>
        <w:ind w:left="567" w:hanging="567"/>
      </w:pPr>
      <w:rPr>
        <w:rFonts w:asciiTheme="majorHAnsi" w:hAnsiTheme="majorHAnsi"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701" w:hanging="567"/>
      </w:pPr>
      <w:rPr>
        <w:rFonts w:hint="default"/>
      </w:rPr>
    </w:lvl>
    <w:lvl w:ilvl="5">
      <w:start w:val="1"/>
      <w:numFmt w:val="none"/>
      <w:lvlText w:val=""/>
      <w:lvlJc w:val="left"/>
      <w:pPr>
        <w:ind w:left="1134" w:hanging="1134"/>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6" w15:restartNumberingAfterBreak="0">
    <w:nsid w:val="55BF5A33"/>
    <w:multiLevelType w:val="multilevel"/>
    <w:tmpl w:val="263AF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1" w15:restartNumberingAfterBreak="0">
    <w:nsid w:val="5FCE1F6D"/>
    <w:multiLevelType w:val="multilevel"/>
    <w:tmpl w:val="90D2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1E4371" w:themeColor="text2"/>
      </w:rPr>
    </w:lvl>
    <w:lvl w:ilvl="1">
      <w:start w:val="1"/>
      <w:numFmt w:val="bullet"/>
      <w:lvlText w:val="–"/>
      <w:lvlJc w:val="left"/>
      <w:pPr>
        <w:ind w:left="539" w:hanging="227"/>
      </w:pPr>
      <w:rPr>
        <w:rFonts w:ascii="Arial" w:hAnsi="Arial" w:hint="default"/>
        <w:color w:val="1E437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3" w15:restartNumberingAfterBreak="0">
    <w:nsid w:val="636261A4"/>
    <w:multiLevelType w:val="hybridMultilevel"/>
    <w:tmpl w:val="645EBEB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1E4371" w:themeColor="text2"/>
        <w:sz w:val="32"/>
      </w:rPr>
    </w:lvl>
    <w:lvl w:ilvl="1">
      <w:start w:val="1"/>
      <w:numFmt w:val="decimal"/>
      <w:lvlText w:val="%2."/>
      <w:lvlJc w:val="left"/>
      <w:pPr>
        <w:tabs>
          <w:tab w:val="num" w:pos="992"/>
        </w:tabs>
        <w:ind w:left="992" w:hanging="992"/>
      </w:pPr>
      <w:rPr>
        <w:rFonts w:hint="default"/>
        <w:b w:val="0"/>
        <w:i w:val="0"/>
        <w:color w:val="1E437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65CA42DD"/>
    <w:multiLevelType w:val="multilevel"/>
    <w:tmpl w:val="95D2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731DFA"/>
    <w:multiLevelType w:val="multilevel"/>
    <w:tmpl w:val="6AE6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9059BD"/>
    <w:multiLevelType w:val="multilevel"/>
    <w:tmpl w:val="0A385612"/>
    <w:name w:val="NumberedHeadings3"/>
    <w:lvl w:ilvl="0">
      <w:start w:val="1"/>
      <w:numFmt w:val="bullet"/>
      <w:lvlText w:val="–"/>
      <w:lvlJc w:val="left"/>
      <w:pPr>
        <w:ind w:left="794" w:hanging="227"/>
      </w:pPr>
      <w:rPr>
        <w:rFonts w:ascii="Poppins" w:hAnsi="Poppins" w:hint="default"/>
      </w:rPr>
    </w:lvl>
    <w:lvl w:ilvl="1">
      <w:start w:val="1"/>
      <w:numFmt w:val="bullet"/>
      <w:lvlText w:val="–"/>
      <w:lvlJc w:val="left"/>
      <w:pPr>
        <w:ind w:left="1021" w:hanging="227"/>
      </w:pPr>
      <w:rPr>
        <w:rFonts w:ascii="Poppins" w:hAnsi="Poppins" w:hint="default"/>
      </w:rPr>
    </w:lvl>
    <w:lvl w:ilvl="2">
      <w:start w:val="1"/>
      <w:numFmt w:val="lowerRoman"/>
      <w:lvlText w:val="%3."/>
      <w:lvlJc w:val="right"/>
      <w:pPr>
        <w:ind w:left="1248" w:hanging="227"/>
      </w:pPr>
      <w:rPr>
        <w:rFonts w:hint="default"/>
      </w:rPr>
    </w:lvl>
    <w:lvl w:ilvl="3">
      <w:start w:val="1"/>
      <w:numFmt w:val="decimal"/>
      <w:lvlText w:val="%4."/>
      <w:lvlJc w:val="left"/>
      <w:pPr>
        <w:ind w:left="1475" w:hanging="227"/>
      </w:pPr>
      <w:rPr>
        <w:rFonts w:hint="default"/>
      </w:rPr>
    </w:lvl>
    <w:lvl w:ilvl="4">
      <w:start w:val="1"/>
      <w:numFmt w:val="lowerLetter"/>
      <w:lvlText w:val="%5."/>
      <w:lvlJc w:val="left"/>
      <w:pPr>
        <w:ind w:left="1702" w:hanging="227"/>
      </w:pPr>
      <w:rPr>
        <w:rFonts w:hint="default"/>
      </w:rPr>
    </w:lvl>
    <w:lvl w:ilvl="5">
      <w:start w:val="1"/>
      <w:numFmt w:val="lowerRoman"/>
      <w:lvlText w:val="%6."/>
      <w:lvlJc w:val="right"/>
      <w:pPr>
        <w:ind w:left="1929" w:hanging="227"/>
      </w:pPr>
      <w:rPr>
        <w:rFonts w:hint="default"/>
      </w:rPr>
    </w:lvl>
    <w:lvl w:ilvl="6">
      <w:start w:val="1"/>
      <w:numFmt w:val="decimal"/>
      <w:lvlText w:val="%7."/>
      <w:lvlJc w:val="left"/>
      <w:pPr>
        <w:ind w:left="2156" w:hanging="227"/>
      </w:pPr>
      <w:rPr>
        <w:rFonts w:hint="default"/>
      </w:rPr>
    </w:lvl>
    <w:lvl w:ilvl="7">
      <w:start w:val="1"/>
      <w:numFmt w:val="lowerLetter"/>
      <w:lvlText w:val="%8."/>
      <w:lvlJc w:val="left"/>
      <w:pPr>
        <w:ind w:left="2383" w:hanging="227"/>
      </w:pPr>
      <w:rPr>
        <w:rFonts w:hint="default"/>
      </w:rPr>
    </w:lvl>
    <w:lvl w:ilvl="8">
      <w:start w:val="1"/>
      <w:numFmt w:val="lowerRoman"/>
      <w:lvlText w:val="%9."/>
      <w:lvlJc w:val="right"/>
      <w:pPr>
        <w:ind w:left="2610" w:hanging="227"/>
      </w:pPr>
      <w:rPr>
        <w:rFonts w:hint="default"/>
      </w:rPr>
    </w:lvl>
  </w:abstractNum>
  <w:abstractNum w:abstractNumId="38" w15:restartNumberingAfterBreak="0">
    <w:nsid w:val="7154701C"/>
    <w:multiLevelType w:val="multilevel"/>
    <w:tmpl w:val="403E2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1E4371"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1E4371" w:themeColor="text2"/>
        <w:position w:val="2"/>
        <w:sz w:val="20"/>
      </w:rPr>
    </w:lvl>
    <w:lvl w:ilvl="2">
      <w:start w:val="1"/>
      <w:numFmt w:val="bullet"/>
      <w:lvlText w:val="–"/>
      <w:lvlJc w:val="left"/>
      <w:pPr>
        <w:tabs>
          <w:tab w:val="num" w:pos="1361"/>
        </w:tabs>
        <w:ind w:left="1361" w:hanging="340"/>
      </w:pPr>
      <w:rPr>
        <w:rFonts w:ascii="Arial" w:hAnsi="Arial" w:hint="default"/>
        <w:color w:val="1E437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6E74956"/>
    <w:multiLevelType w:val="multilevel"/>
    <w:tmpl w:val="4ECEA512"/>
    <w:styleLink w:val="List-Headings"/>
    <w:lvl w:ilvl="0">
      <w:start w:val="1"/>
      <w:numFmt w:val="decimal"/>
      <w:pStyle w:val="Heading1"/>
      <w:lvlText w:val="%1."/>
      <w:lvlJc w:val="left"/>
      <w:pPr>
        <w:ind w:left="567" w:hanging="567"/>
      </w:pPr>
      <w:rPr>
        <w:rFonts w:asciiTheme="majorHAnsi" w:hAnsiTheme="majorHAnsi"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lowerLetter"/>
      <w:pStyle w:val="Heading4"/>
      <w:lvlText w:val="(%4)"/>
      <w:lvlJc w:val="left"/>
      <w:pPr>
        <w:ind w:left="1134" w:hanging="567"/>
      </w:pPr>
      <w:rPr>
        <w:rFonts w:hint="default"/>
      </w:rPr>
    </w:lvl>
    <w:lvl w:ilvl="4">
      <w:start w:val="1"/>
      <w:numFmt w:val="lowerRoman"/>
      <w:pStyle w:val="Heading5"/>
      <w:lvlText w:val="(%5)"/>
      <w:lvlJc w:val="left"/>
      <w:pPr>
        <w:ind w:left="1701" w:hanging="567"/>
      </w:pPr>
      <w:rPr>
        <w:rFonts w:hint="default"/>
      </w:rPr>
    </w:lvl>
    <w:lvl w:ilvl="5">
      <w:start w:val="1"/>
      <w:numFmt w:val="none"/>
      <w:lvlText w:val=""/>
      <w:lvlJc w:val="left"/>
      <w:pPr>
        <w:ind w:left="1134" w:hanging="1134"/>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7B52C3E"/>
    <w:multiLevelType w:val="hybridMultilevel"/>
    <w:tmpl w:val="E6D4E64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3" w15:restartNumberingAfterBreak="0">
    <w:nsid w:val="77BA5C3A"/>
    <w:multiLevelType w:val="multilevel"/>
    <w:tmpl w:val="B3B4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010DF1"/>
    <w:multiLevelType w:val="multilevel"/>
    <w:tmpl w:val="3020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1E437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48133190">
    <w:abstractNumId w:val="11"/>
  </w:num>
  <w:num w:numId="2" w16cid:durableId="1169633245">
    <w:abstractNumId w:val="16"/>
  </w:num>
  <w:num w:numId="3" w16cid:durableId="1904103410">
    <w:abstractNumId w:val="10"/>
  </w:num>
  <w:num w:numId="4" w16cid:durableId="1577351110">
    <w:abstractNumId w:val="30"/>
  </w:num>
  <w:num w:numId="5" w16cid:durableId="606887115">
    <w:abstractNumId w:val="3"/>
  </w:num>
  <w:num w:numId="6" w16cid:durableId="1192379316">
    <w:abstractNumId w:val="2"/>
  </w:num>
  <w:num w:numId="7" w16cid:durableId="593169632">
    <w:abstractNumId w:val="41"/>
  </w:num>
  <w:num w:numId="8" w16cid:durableId="669522283">
    <w:abstractNumId w:val="8"/>
  </w:num>
  <w:num w:numId="9" w16cid:durableId="215315025">
    <w:abstractNumId w:val="22"/>
  </w:num>
  <w:num w:numId="10" w16cid:durableId="1771193094">
    <w:abstractNumId w:val="20"/>
  </w:num>
  <w:num w:numId="11" w16cid:durableId="1672486429">
    <w:abstractNumId w:val="26"/>
  </w:num>
  <w:num w:numId="12" w16cid:durableId="880288809">
    <w:abstractNumId w:val="38"/>
  </w:num>
  <w:num w:numId="13" w16cid:durableId="1402213556">
    <w:abstractNumId w:val="44"/>
  </w:num>
  <w:num w:numId="14" w16cid:durableId="797408667">
    <w:abstractNumId w:val="43"/>
  </w:num>
  <w:num w:numId="15" w16cid:durableId="436756361">
    <w:abstractNumId w:val="36"/>
  </w:num>
  <w:num w:numId="16" w16cid:durableId="1506749096">
    <w:abstractNumId w:val="35"/>
  </w:num>
  <w:num w:numId="17" w16cid:durableId="1956867979">
    <w:abstractNumId w:val="9"/>
  </w:num>
  <w:num w:numId="18" w16cid:durableId="311567800">
    <w:abstractNumId w:val="12"/>
  </w:num>
  <w:num w:numId="19" w16cid:durableId="1832871380">
    <w:abstractNumId w:val="33"/>
  </w:num>
  <w:num w:numId="20" w16cid:durableId="97213414">
    <w:abstractNumId w:val="5"/>
  </w:num>
  <w:num w:numId="21" w16cid:durableId="1042362609">
    <w:abstractNumId w:val="42"/>
  </w:num>
  <w:num w:numId="22" w16cid:durableId="681591791">
    <w:abstractNumId w:val="0"/>
  </w:num>
  <w:num w:numId="23" w16cid:durableId="821434513">
    <w:abstractNumId w:val="0"/>
  </w:num>
  <w:num w:numId="24" w16cid:durableId="639262209">
    <w:abstractNumId w:val="6"/>
  </w:num>
  <w:num w:numId="25" w16cid:durableId="145518084">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EB7E1D"/>
    <w:rsid w:val="00000194"/>
    <w:rsid w:val="00001644"/>
    <w:rsid w:val="000021D2"/>
    <w:rsid w:val="000035F6"/>
    <w:rsid w:val="00004327"/>
    <w:rsid w:val="00004810"/>
    <w:rsid w:val="00004A68"/>
    <w:rsid w:val="00004EEE"/>
    <w:rsid w:val="000068CA"/>
    <w:rsid w:val="00007144"/>
    <w:rsid w:val="0000736B"/>
    <w:rsid w:val="00007643"/>
    <w:rsid w:val="000105A9"/>
    <w:rsid w:val="00011C29"/>
    <w:rsid w:val="00011C97"/>
    <w:rsid w:val="00011F46"/>
    <w:rsid w:val="0001216C"/>
    <w:rsid w:val="000125A5"/>
    <w:rsid w:val="00012B4C"/>
    <w:rsid w:val="0001317F"/>
    <w:rsid w:val="00013C91"/>
    <w:rsid w:val="00013DD6"/>
    <w:rsid w:val="00014592"/>
    <w:rsid w:val="00014AD2"/>
    <w:rsid w:val="000152AC"/>
    <w:rsid w:val="000160DB"/>
    <w:rsid w:val="00016D03"/>
    <w:rsid w:val="00017E78"/>
    <w:rsid w:val="00020166"/>
    <w:rsid w:val="00020425"/>
    <w:rsid w:val="0002048A"/>
    <w:rsid w:val="00021A5E"/>
    <w:rsid w:val="00022FC9"/>
    <w:rsid w:val="0002313E"/>
    <w:rsid w:val="00023619"/>
    <w:rsid w:val="00024DE5"/>
    <w:rsid w:val="00024F9A"/>
    <w:rsid w:val="000265EA"/>
    <w:rsid w:val="00026CB8"/>
    <w:rsid w:val="00026DC2"/>
    <w:rsid w:val="00026F6C"/>
    <w:rsid w:val="000273C5"/>
    <w:rsid w:val="00030A38"/>
    <w:rsid w:val="000330BE"/>
    <w:rsid w:val="000332BE"/>
    <w:rsid w:val="000332EC"/>
    <w:rsid w:val="000337A3"/>
    <w:rsid w:val="000343D3"/>
    <w:rsid w:val="000345B7"/>
    <w:rsid w:val="00034E7A"/>
    <w:rsid w:val="00034FD2"/>
    <w:rsid w:val="00036D45"/>
    <w:rsid w:val="000371C3"/>
    <w:rsid w:val="000374E9"/>
    <w:rsid w:val="000377F7"/>
    <w:rsid w:val="000408B7"/>
    <w:rsid w:val="00040EB4"/>
    <w:rsid w:val="000411A2"/>
    <w:rsid w:val="00041613"/>
    <w:rsid w:val="00042903"/>
    <w:rsid w:val="0004589D"/>
    <w:rsid w:val="0004675A"/>
    <w:rsid w:val="000468EE"/>
    <w:rsid w:val="00046DC8"/>
    <w:rsid w:val="000474DB"/>
    <w:rsid w:val="00050713"/>
    <w:rsid w:val="00051BFC"/>
    <w:rsid w:val="00051D5C"/>
    <w:rsid w:val="00052454"/>
    <w:rsid w:val="0005252A"/>
    <w:rsid w:val="0005324A"/>
    <w:rsid w:val="00053C58"/>
    <w:rsid w:val="0005416F"/>
    <w:rsid w:val="00056024"/>
    <w:rsid w:val="000574CC"/>
    <w:rsid w:val="00060B9F"/>
    <w:rsid w:val="0006283D"/>
    <w:rsid w:val="000634B5"/>
    <w:rsid w:val="00064E24"/>
    <w:rsid w:val="000650B1"/>
    <w:rsid w:val="000666F2"/>
    <w:rsid w:val="00066A4B"/>
    <w:rsid w:val="00067333"/>
    <w:rsid w:val="00067A55"/>
    <w:rsid w:val="00071174"/>
    <w:rsid w:val="0007166A"/>
    <w:rsid w:val="0007247D"/>
    <w:rsid w:val="00073D8E"/>
    <w:rsid w:val="00074EF6"/>
    <w:rsid w:val="000758FF"/>
    <w:rsid w:val="00075CA3"/>
    <w:rsid w:val="000764DD"/>
    <w:rsid w:val="00076CEC"/>
    <w:rsid w:val="000770EF"/>
    <w:rsid w:val="00080082"/>
    <w:rsid w:val="000809F5"/>
    <w:rsid w:val="00080B70"/>
    <w:rsid w:val="00081A24"/>
    <w:rsid w:val="00082701"/>
    <w:rsid w:val="00082CAC"/>
    <w:rsid w:val="00083878"/>
    <w:rsid w:val="00083BCE"/>
    <w:rsid w:val="000847EE"/>
    <w:rsid w:val="00084998"/>
    <w:rsid w:val="00084E25"/>
    <w:rsid w:val="00085E35"/>
    <w:rsid w:val="00086400"/>
    <w:rsid w:val="0008678B"/>
    <w:rsid w:val="000867FC"/>
    <w:rsid w:val="00086C5B"/>
    <w:rsid w:val="00087508"/>
    <w:rsid w:val="00087CE5"/>
    <w:rsid w:val="00090C31"/>
    <w:rsid w:val="00090D68"/>
    <w:rsid w:val="0009129D"/>
    <w:rsid w:val="00091E67"/>
    <w:rsid w:val="00093AB0"/>
    <w:rsid w:val="00093DB2"/>
    <w:rsid w:val="00094C04"/>
    <w:rsid w:val="00094FC2"/>
    <w:rsid w:val="0009636C"/>
    <w:rsid w:val="0009679D"/>
    <w:rsid w:val="00096D02"/>
    <w:rsid w:val="00096E3E"/>
    <w:rsid w:val="00097178"/>
    <w:rsid w:val="000971A5"/>
    <w:rsid w:val="0009733D"/>
    <w:rsid w:val="0009748B"/>
    <w:rsid w:val="000A043A"/>
    <w:rsid w:val="000A0772"/>
    <w:rsid w:val="000A07D4"/>
    <w:rsid w:val="000A0D39"/>
    <w:rsid w:val="000A0F20"/>
    <w:rsid w:val="000A1A10"/>
    <w:rsid w:val="000A2A5F"/>
    <w:rsid w:val="000A494A"/>
    <w:rsid w:val="000A4DD8"/>
    <w:rsid w:val="000A513C"/>
    <w:rsid w:val="000A55E9"/>
    <w:rsid w:val="000A64D2"/>
    <w:rsid w:val="000A65C4"/>
    <w:rsid w:val="000A6907"/>
    <w:rsid w:val="000B02C8"/>
    <w:rsid w:val="000B07C0"/>
    <w:rsid w:val="000B0A7C"/>
    <w:rsid w:val="000B1DDE"/>
    <w:rsid w:val="000B4FF9"/>
    <w:rsid w:val="000B51BB"/>
    <w:rsid w:val="000B59CB"/>
    <w:rsid w:val="000B5AC1"/>
    <w:rsid w:val="000B5D36"/>
    <w:rsid w:val="000B6301"/>
    <w:rsid w:val="000B65EE"/>
    <w:rsid w:val="000B6910"/>
    <w:rsid w:val="000B6EDE"/>
    <w:rsid w:val="000B722B"/>
    <w:rsid w:val="000C036C"/>
    <w:rsid w:val="000C043D"/>
    <w:rsid w:val="000C269E"/>
    <w:rsid w:val="000C3390"/>
    <w:rsid w:val="000C3827"/>
    <w:rsid w:val="000C4032"/>
    <w:rsid w:val="000C42F3"/>
    <w:rsid w:val="000C440C"/>
    <w:rsid w:val="000C498B"/>
    <w:rsid w:val="000C4AFB"/>
    <w:rsid w:val="000C620E"/>
    <w:rsid w:val="000C782D"/>
    <w:rsid w:val="000C7BB4"/>
    <w:rsid w:val="000D01DB"/>
    <w:rsid w:val="000D0471"/>
    <w:rsid w:val="000D04B1"/>
    <w:rsid w:val="000D1DA0"/>
    <w:rsid w:val="000D2B3D"/>
    <w:rsid w:val="000D319F"/>
    <w:rsid w:val="000D36F9"/>
    <w:rsid w:val="000D3881"/>
    <w:rsid w:val="000D3CAE"/>
    <w:rsid w:val="000D5967"/>
    <w:rsid w:val="000D6482"/>
    <w:rsid w:val="000D66AF"/>
    <w:rsid w:val="000D73BF"/>
    <w:rsid w:val="000D73C9"/>
    <w:rsid w:val="000D77AB"/>
    <w:rsid w:val="000D77CE"/>
    <w:rsid w:val="000D7F5B"/>
    <w:rsid w:val="000E0068"/>
    <w:rsid w:val="000E0C7E"/>
    <w:rsid w:val="000E1777"/>
    <w:rsid w:val="000E28E3"/>
    <w:rsid w:val="000E2BFA"/>
    <w:rsid w:val="000E2E35"/>
    <w:rsid w:val="000E2F22"/>
    <w:rsid w:val="000E336A"/>
    <w:rsid w:val="000E346F"/>
    <w:rsid w:val="000E35EE"/>
    <w:rsid w:val="000E38AA"/>
    <w:rsid w:val="000E480F"/>
    <w:rsid w:val="000E4946"/>
    <w:rsid w:val="000E5431"/>
    <w:rsid w:val="000E5790"/>
    <w:rsid w:val="000E5CFC"/>
    <w:rsid w:val="000E79F7"/>
    <w:rsid w:val="000F0977"/>
    <w:rsid w:val="000F0AB0"/>
    <w:rsid w:val="000F0E83"/>
    <w:rsid w:val="000F1017"/>
    <w:rsid w:val="000F1064"/>
    <w:rsid w:val="000F20A0"/>
    <w:rsid w:val="000F2BEC"/>
    <w:rsid w:val="000F2FE9"/>
    <w:rsid w:val="000F3362"/>
    <w:rsid w:val="000F436A"/>
    <w:rsid w:val="000F47F5"/>
    <w:rsid w:val="000F4D26"/>
    <w:rsid w:val="000F59FB"/>
    <w:rsid w:val="000F5E55"/>
    <w:rsid w:val="000F6093"/>
    <w:rsid w:val="000F6821"/>
    <w:rsid w:val="000F7466"/>
    <w:rsid w:val="000F7BB5"/>
    <w:rsid w:val="000F7C2D"/>
    <w:rsid w:val="0010065B"/>
    <w:rsid w:val="00100761"/>
    <w:rsid w:val="001010FA"/>
    <w:rsid w:val="00101215"/>
    <w:rsid w:val="00101A91"/>
    <w:rsid w:val="00101AB0"/>
    <w:rsid w:val="001023F4"/>
    <w:rsid w:val="001042E1"/>
    <w:rsid w:val="0010455D"/>
    <w:rsid w:val="00104FD3"/>
    <w:rsid w:val="00105EB2"/>
    <w:rsid w:val="00105FBE"/>
    <w:rsid w:val="0010645A"/>
    <w:rsid w:val="0010648C"/>
    <w:rsid w:val="00107C8F"/>
    <w:rsid w:val="00107FA2"/>
    <w:rsid w:val="0011038E"/>
    <w:rsid w:val="0011087C"/>
    <w:rsid w:val="0011132C"/>
    <w:rsid w:val="00112D5E"/>
    <w:rsid w:val="00112EDB"/>
    <w:rsid w:val="00113007"/>
    <w:rsid w:val="0011371C"/>
    <w:rsid w:val="00113A48"/>
    <w:rsid w:val="0011429D"/>
    <w:rsid w:val="001142B9"/>
    <w:rsid w:val="00114377"/>
    <w:rsid w:val="00115631"/>
    <w:rsid w:val="001156B1"/>
    <w:rsid w:val="00116264"/>
    <w:rsid w:val="00116A51"/>
    <w:rsid w:val="001176AC"/>
    <w:rsid w:val="0011783C"/>
    <w:rsid w:val="00120092"/>
    <w:rsid w:val="0012041B"/>
    <w:rsid w:val="00120B94"/>
    <w:rsid w:val="00120D59"/>
    <w:rsid w:val="001218CA"/>
    <w:rsid w:val="0012199B"/>
    <w:rsid w:val="001230A0"/>
    <w:rsid w:val="001244D8"/>
    <w:rsid w:val="001252B3"/>
    <w:rsid w:val="001267C9"/>
    <w:rsid w:val="001268C6"/>
    <w:rsid w:val="00126943"/>
    <w:rsid w:val="0013044E"/>
    <w:rsid w:val="00130B14"/>
    <w:rsid w:val="001320DB"/>
    <w:rsid w:val="00132534"/>
    <w:rsid w:val="00132ECF"/>
    <w:rsid w:val="00133CEB"/>
    <w:rsid w:val="00134525"/>
    <w:rsid w:val="00134790"/>
    <w:rsid w:val="0013566D"/>
    <w:rsid w:val="00135A21"/>
    <w:rsid w:val="0013609B"/>
    <w:rsid w:val="00136853"/>
    <w:rsid w:val="00137A24"/>
    <w:rsid w:val="001406CA"/>
    <w:rsid w:val="001417FF"/>
    <w:rsid w:val="00142974"/>
    <w:rsid w:val="00142F82"/>
    <w:rsid w:val="00144086"/>
    <w:rsid w:val="00144787"/>
    <w:rsid w:val="001453F0"/>
    <w:rsid w:val="00145F74"/>
    <w:rsid w:val="00146735"/>
    <w:rsid w:val="00146784"/>
    <w:rsid w:val="00146947"/>
    <w:rsid w:val="00146B37"/>
    <w:rsid w:val="00147141"/>
    <w:rsid w:val="001471A9"/>
    <w:rsid w:val="0014722D"/>
    <w:rsid w:val="00147F55"/>
    <w:rsid w:val="00151D30"/>
    <w:rsid w:val="00151DB5"/>
    <w:rsid w:val="001536B2"/>
    <w:rsid w:val="00154DFD"/>
    <w:rsid w:val="00155192"/>
    <w:rsid w:val="00155B41"/>
    <w:rsid w:val="00155B79"/>
    <w:rsid w:val="0015632F"/>
    <w:rsid w:val="00156406"/>
    <w:rsid w:val="0015669A"/>
    <w:rsid w:val="00156BC1"/>
    <w:rsid w:val="00156C40"/>
    <w:rsid w:val="001571C1"/>
    <w:rsid w:val="00157F04"/>
    <w:rsid w:val="00160C09"/>
    <w:rsid w:val="00160C50"/>
    <w:rsid w:val="00160EA5"/>
    <w:rsid w:val="00161183"/>
    <w:rsid w:val="00162508"/>
    <w:rsid w:val="0016271B"/>
    <w:rsid w:val="001629F9"/>
    <w:rsid w:val="00162EBC"/>
    <w:rsid w:val="00162FD8"/>
    <w:rsid w:val="0016336A"/>
    <w:rsid w:val="001634E1"/>
    <w:rsid w:val="00163A5B"/>
    <w:rsid w:val="00164012"/>
    <w:rsid w:val="00164716"/>
    <w:rsid w:val="00166097"/>
    <w:rsid w:val="00166E6D"/>
    <w:rsid w:val="00167022"/>
    <w:rsid w:val="00170701"/>
    <w:rsid w:val="00170F0B"/>
    <w:rsid w:val="00171EB7"/>
    <w:rsid w:val="001726D4"/>
    <w:rsid w:val="001728B5"/>
    <w:rsid w:val="00172A48"/>
    <w:rsid w:val="00173083"/>
    <w:rsid w:val="00174052"/>
    <w:rsid w:val="001745CE"/>
    <w:rsid w:val="001750A0"/>
    <w:rsid w:val="00175C87"/>
    <w:rsid w:val="001766D2"/>
    <w:rsid w:val="001768FA"/>
    <w:rsid w:val="0017749D"/>
    <w:rsid w:val="001778A7"/>
    <w:rsid w:val="00180042"/>
    <w:rsid w:val="00180075"/>
    <w:rsid w:val="0018064C"/>
    <w:rsid w:val="00180E8D"/>
    <w:rsid w:val="001813B0"/>
    <w:rsid w:val="001815E4"/>
    <w:rsid w:val="001818D8"/>
    <w:rsid w:val="0018239D"/>
    <w:rsid w:val="001827CC"/>
    <w:rsid w:val="001830CF"/>
    <w:rsid w:val="00183229"/>
    <w:rsid w:val="0018426D"/>
    <w:rsid w:val="00184490"/>
    <w:rsid w:val="001844C6"/>
    <w:rsid w:val="001845EF"/>
    <w:rsid w:val="00184B03"/>
    <w:rsid w:val="00186186"/>
    <w:rsid w:val="001874D7"/>
    <w:rsid w:val="00187B9E"/>
    <w:rsid w:val="001910A0"/>
    <w:rsid w:val="001910A2"/>
    <w:rsid w:val="00191188"/>
    <w:rsid w:val="001911BB"/>
    <w:rsid w:val="001912F0"/>
    <w:rsid w:val="00191308"/>
    <w:rsid w:val="00192993"/>
    <w:rsid w:val="00192B90"/>
    <w:rsid w:val="00192F5C"/>
    <w:rsid w:val="0019331B"/>
    <w:rsid w:val="00193A05"/>
    <w:rsid w:val="00193BDD"/>
    <w:rsid w:val="00194013"/>
    <w:rsid w:val="001942E7"/>
    <w:rsid w:val="001945C8"/>
    <w:rsid w:val="00194AAE"/>
    <w:rsid w:val="00194B60"/>
    <w:rsid w:val="00195D19"/>
    <w:rsid w:val="0019756C"/>
    <w:rsid w:val="00197D54"/>
    <w:rsid w:val="001A02D3"/>
    <w:rsid w:val="001A0FC3"/>
    <w:rsid w:val="001A26B9"/>
    <w:rsid w:val="001A2A3F"/>
    <w:rsid w:val="001A3352"/>
    <w:rsid w:val="001A3695"/>
    <w:rsid w:val="001A59BB"/>
    <w:rsid w:val="001A59ED"/>
    <w:rsid w:val="001A5BEE"/>
    <w:rsid w:val="001A63B0"/>
    <w:rsid w:val="001A6B09"/>
    <w:rsid w:val="001A6F1B"/>
    <w:rsid w:val="001B017B"/>
    <w:rsid w:val="001B08FF"/>
    <w:rsid w:val="001B1992"/>
    <w:rsid w:val="001B1B2B"/>
    <w:rsid w:val="001B2AD7"/>
    <w:rsid w:val="001B2D49"/>
    <w:rsid w:val="001B32D1"/>
    <w:rsid w:val="001B330C"/>
    <w:rsid w:val="001B44C8"/>
    <w:rsid w:val="001B5083"/>
    <w:rsid w:val="001B6683"/>
    <w:rsid w:val="001B6D41"/>
    <w:rsid w:val="001B6E7E"/>
    <w:rsid w:val="001B7E65"/>
    <w:rsid w:val="001C0ABE"/>
    <w:rsid w:val="001C145F"/>
    <w:rsid w:val="001C158E"/>
    <w:rsid w:val="001C2489"/>
    <w:rsid w:val="001C2510"/>
    <w:rsid w:val="001C2788"/>
    <w:rsid w:val="001C31C0"/>
    <w:rsid w:val="001C3BF9"/>
    <w:rsid w:val="001C40E3"/>
    <w:rsid w:val="001C4173"/>
    <w:rsid w:val="001C4450"/>
    <w:rsid w:val="001C4657"/>
    <w:rsid w:val="001C53B2"/>
    <w:rsid w:val="001C5A11"/>
    <w:rsid w:val="001C7F87"/>
    <w:rsid w:val="001D0834"/>
    <w:rsid w:val="001D0E0D"/>
    <w:rsid w:val="001D223D"/>
    <w:rsid w:val="001D2D53"/>
    <w:rsid w:val="001D39F8"/>
    <w:rsid w:val="001D3B02"/>
    <w:rsid w:val="001D5D1A"/>
    <w:rsid w:val="001D5FC7"/>
    <w:rsid w:val="001D6139"/>
    <w:rsid w:val="001D63D0"/>
    <w:rsid w:val="001D6DA0"/>
    <w:rsid w:val="001D78C3"/>
    <w:rsid w:val="001E04BC"/>
    <w:rsid w:val="001E1DB7"/>
    <w:rsid w:val="001E1E00"/>
    <w:rsid w:val="001E2412"/>
    <w:rsid w:val="001E3629"/>
    <w:rsid w:val="001E3E6C"/>
    <w:rsid w:val="001E43CC"/>
    <w:rsid w:val="001E48EA"/>
    <w:rsid w:val="001E51A2"/>
    <w:rsid w:val="001E6045"/>
    <w:rsid w:val="001E6421"/>
    <w:rsid w:val="001E6674"/>
    <w:rsid w:val="001E70EA"/>
    <w:rsid w:val="001F0A72"/>
    <w:rsid w:val="001F23B3"/>
    <w:rsid w:val="001F275B"/>
    <w:rsid w:val="001F302E"/>
    <w:rsid w:val="001F4415"/>
    <w:rsid w:val="001F44D3"/>
    <w:rsid w:val="001F4765"/>
    <w:rsid w:val="001F5040"/>
    <w:rsid w:val="001F5358"/>
    <w:rsid w:val="001F5BF9"/>
    <w:rsid w:val="001F618A"/>
    <w:rsid w:val="001F619C"/>
    <w:rsid w:val="001F6460"/>
    <w:rsid w:val="001F6826"/>
    <w:rsid w:val="001F6E33"/>
    <w:rsid w:val="001F797E"/>
    <w:rsid w:val="001F79DC"/>
    <w:rsid w:val="0020269C"/>
    <w:rsid w:val="0020272B"/>
    <w:rsid w:val="00202D57"/>
    <w:rsid w:val="00203B5C"/>
    <w:rsid w:val="002048EC"/>
    <w:rsid w:val="0020515E"/>
    <w:rsid w:val="002055FF"/>
    <w:rsid w:val="00206538"/>
    <w:rsid w:val="00206762"/>
    <w:rsid w:val="00207076"/>
    <w:rsid w:val="002071C2"/>
    <w:rsid w:val="00207596"/>
    <w:rsid w:val="00207E74"/>
    <w:rsid w:val="002106A3"/>
    <w:rsid w:val="00210B5C"/>
    <w:rsid w:val="00210C96"/>
    <w:rsid w:val="00210DCB"/>
    <w:rsid w:val="00211075"/>
    <w:rsid w:val="00211910"/>
    <w:rsid w:val="00212101"/>
    <w:rsid w:val="00213177"/>
    <w:rsid w:val="00213B2D"/>
    <w:rsid w:val="00213CFE"/>
    <w:rsid w:val="00214057"/>
    <w:rsid w:val="00214138"/>
    <w:rsid w:val="002146AD"/>
    <w:rsid w:val="002146FB"/>
    <w:rsid w:val="00215E28"/>
    <w:rsid w:val="002167E2"/>
    <w:rsid w:val="0021690B"/>
    <w:rsid w:val="00216ACB"/>
    <w:rsid w:val="002202ED"/>
    <w:rsid w:val="00220A34"/>
    <w:rsid w:val="00223FE9"/>
    <w:rsid w:val="002247B9"/>
    <w:rsid w:val="00226225"/>
    <w:rsid w:val="00226916"/>
    <w:rsid w:val="00226A73"/>
    <w:rsid w:val="00226BF6"/>
    <w:rsid w:val="00226E62"/>
    <w:rsid w:val="002272DC"/>
    <w:rsid w:val="00227A5F"/>
    <w:rsid w:val="00227B50"/>
    <w:rsid w:val="00230259"/>
    <w:rsid w:val="00230D80"/>
    <w:rsid w:val="0023294F"/>
    <w:rsid w:val="00232D3E"/>
    <w:rsid w:val="00233239"/>
    <w:rsid w:val="00233B50"/>
    <w:rsid w:val="002353F9"/>
    <w:rsid w:val="0023624D"/>
    <w:rsid w:val="00240884"/>
    <w:rsid w:val="00240F35"/>
    <w:rsid w:val="00241363"/>
    <w:rsid w:val="00242651"/>
    <w:rsid w:val="00243399"/>
    <w:rsid w:val="00243A45"/>
    <w:rsid w:val="00243F81"/>
    <w:rsid w:val="002443B6"/>
    <w:rsid w:val="002448CB"/>
    <w:rsid w:val="00246CFA"/>
    <w:rsid w:val="00247DAF"/>
    <w:rsid w:val="00251326"/>
    <w:rsid w:val="00251AD4"/>
    <w:rsid w:val="00252DEC"/>
    <w:rsid w:val="002533C2"/>
    <w:rsid w:val="00253C6D"/>
    <w:rsid w:val="00253E1E"/>
    <w:rsid w:val="0025402C"/>
    <w:rsid w:val="0025562D"/>
    <w:rsid w:val="0025626D"/>
    <w:rsid w:val="00256560"/>
    <w:rsid w:val="00256624"/>
    <w:rsid w:val="00257F30"/>
    <w:rsid w:val="002600A1"/>
    <w:rsid w:val="00260CB3"/>
    <w:rsid w:val="0026181D"/>
    <w:rsid w:val="00261C7F"/>
    <w:rsid w:val="0026247E"/>
    <w:rsid w:val="0026258F"/>
    <w:rsid w:val="00262ACE"/>
    <w:rsid w:val="00263A79"/>
    <w:rsid w:val="00265155"/>
    <w:rsid w:val="00265C0D"/>
    <w:rsid w:val="00265E5A"/>
    <w:rsid w:val="0026655E"/>
    <w:rsid w:val="002671CE"/>
    <w:rsid w:val="0026756C"/>
    <w:rsid w:val="002676DE"/>
    <w:rsid w:val="00270016"/>
    <w:rsid w:val="0027011C"/>
    <w:rsid w:val="00270737"/>
    <w:rsid w:val="00270817"/>
    <w:rsid w:val="002715E9"/>
    <w:rsid w:val="0027194F"/>
    <w:rsid w:val="00271D14"/>
    <w:rsid w:val="0027240B"/>
    <w:rsid w:val="002725C1"/>
    <w:rsid w:val="00272A50"/>
    <w:rsid w:val="0027394E"/>
    <w:rsid w:val="002743CC"/>
    <w:rsid w:val="00274C38"/>
    <w:rsid w:val="00274DED"/>
    <w:rsid w:val="00275582"/>
    <w:rsid w:val="00276083"/>
    <w:rsid w:val="00276602"/>
    <w:rsid w:val="0027759D"/>
    <w:rsid w:val="00277681"/>
    <w:rsid w:val="00277CC4"/>
    <w:rsid w:val="002802CD"/>
    <w:rsid w:val="00281C53"/>
    <w:rsid w:val="00283EA9"/>
    <w:rsid w:val="00283F74"/>
    <w:rsid w:val="00284456"/>
    <w:rsid w:val="00284B9E"/>
    <w:rsid w:val="002857D1"/>
    <w:rsid w:val="002857F3"/>
    <w:rsid w:val="00287F69"/>
    <w:rsid w:val="00290467"/>
    <w:rsid w:val="002905F6"/>
    <w:rsid w:val="00292014"/>
    <w:rsid w:val="00292442"/>
    <w:rsid w:val="00294A2C"/>
    <w:rsid w:val="00294DBA"/>
    <w:rsid w:val="00295107"/>
    <w:rsid w:val="002953E2"/>
    <w:rsid w:val="00296ABF"/>
    <w:rsid w:val="00296C8A"/>
    <w:rsid w:val="00297C2D"/>
    <w:rsid w:val="002A0A44"/>
    <w:rsid w:val="002A11B8"/>
    <w:rsid w:val="002A175E"/>
    <w:rsid w:val="002A1929"/>
    <w:rsid w:val="002A1ACC"/>
    <w:rsid w:val="002A2B20"/>
    <w:rsid w:val="002A2F13"/>
    <w:rsid w:val="002A3D3F"/>
    <w:rsid w:val="002A4E2C"/>
    <w:rsid w:val="002A4F15"/>
    <w:rsid w:val="002A628F"/>
    <w:rsid w:val="002A6D25"/>
    <w:rsid w:val="002A73A1"/>
    <w:rsid w:val="002A7D81"/>
    <w:rsid w:val="002B0889"/>
    <w:rsid w:val="002B0B0E"/>
    <w:rsid w:val="002B118F"/>
    <w:rsid w:val="002B23F8"/>
    <w:rsid w:val="002B3B87"/>
    <w:rsid w:val="002B3C56"/>
    <w:rsid w:val="002B4569"/>
    <w:rsid w:val="002B4A7C"/>
    <w:rsid w:val="002B6B22"/>
    <w:rsid w:val="002B7185"/>
    <w:rsid w:val="002B742D"/>
    <w:rsid w:val="002B773E"/>
    <w:rsid w:val="002B78E8"/>
    <w:rsid w:val="002B790E"/>
    <w:rsid w:val="002B7B5A"/>
    <w:rsid w:val="002C004D"/>
    <w:rsid w:val="002C02B3"/>
    <w:rsid w:val="002C19FC"/>
    <w:rsid w:val="002C20CF"/>
    <w:rsid w:val="002C26CA"/>
    <w:rsid w:val="002C2A75"/>
    <w:rsid w:val="002C3586"/>
    <w:rsid w:val="002C37A5"/>
    <w:rsid w:val="002C55A7"/>
    <w:rsid w:val="002C5886"/>
    <w:rsid w:val="002C5D9A"/>
    <w:rsid w:val="002C6858"/>
    <w:rsid w:val="002C687F"/>
    <w:rsid w:val="002C75D5"/>
    <w:rsid w:val="002C76FE"/>
    <w:rsid w:val="002C7A4F"/>
    <w:rsid w:val="002D10C1"/>
    <w:rsid w:val="002D1165"/>
    <w:rsid w:val="002D11BC"/>
    <w:rsid w:val="002D11F9"/>
    <w:rsid w:val="002D1BB5"/>
    <w:rsid w:val="002D21C9"/>
    <w:rsid w:val="002D2577"/>
    <w:rsid w:val="002D2A80"/>
    <w:rsid w:val="002D2AB4"/>
    <w:rsid w:val="002D2D1D"/>
    <w:rsid w:val="002D33A9"/>
    <w:rsid w:val="002D4B23"/>
    <w:rsid w:val="002D535C"/>
    <w:rsid w:val="002D6FAD"/>
    <w:rsid w:val="002D7AA5"/>
    <w:rsid w:val="002E03B0"/>
    <w:rsid w:val="002E0ED2"/>
    <w:rsid w:val="002E1116"/>
    <w:rsid w:val="002E22BE"/>
    <w:rsid w:val="002E2F3E"/>
    <w:rsid w:val="002E3000"/>
    <w:rsid w:val="002E34C5"/>
    <w:rsid w:val="002E3829"/>
    <w:rsid w:val="002E3B71"/>
    <w:rsid w:val="002E4A9E"/>
    <w:rsid w:val="002E4E4D"/>
    <w:rsid w:val="002E54E6"/>
    <w:rsid w:val="002E5553"/>
    <w:rsid w:val="002E5D33"/>
    <w:rsid w:val="002E5E0C"/>
    <w:rsid w:val="002E6414"/>
    <w:rsid w:val="002E6528"/>
    <w:rsid w:val="002E657E"/>
    <w:rsid w:val="002E7557"/>
    <w:rsid w:val="002F07A6"/>
    <w:rsid w:val="002F0D60"/>
    <w:rsid w:val="002F110D"/>
    <w:rsid w:val="002F12E9"/>
    <w:rsid w:val="002F1E3D"/>
    <w:rsid w:val="002F3731"/>
    <w:rsid w:val="002F41ED"/>
    <w:rsid w:val="002F4B8C"/>
    <w:rsid w:val="002F647B"/>
    <w:rsid w:val="002F6668"/>
    <w:rsid w:val="002F722F"/>
    <w:rsid w:val="002F7495"/>
    <w:rsid w:val="00300210"/>
    <w:rsid w:val="003005A1"/>
    <w:rsid w:val="00300A07"/>
    <w:rsid w:val="0030113D"/>
    <w:rsid w:val="00301647"/>
    <w:rsid w:val="0030192B"/>
    <w:rsid w:val="0030259D"/>
    <w:rsid w:val="00302A0C"/>
    <w:rsid w:val="00303C9B"/>
    <w:rsid w:val="0030427C"/>
    <w:rsid w:val="003046E3"/>
    <w:rsid w:val="003060A8"/>
    <w:rsid w:val="00307226"/>
    <w:rsid w:val="0031041C"/>
    <w:rsid w:val="003116C0"/>
    <w:rsid w:val="0031211F"/>
    <w:rsid w:val="0031266F"/>
    <w:rsid w:val="003132E7"/>
    <w:rsid w:val="003134AD"/>
    <w:rsid w:val="003141B3"/>
    <w:rsid w:val="00315198"/>
    <w:rsid w:val="0031553C"/>
    <w:rsid w:val="00315DC5"/>
    <w:rsid w:val="00316086"/>
    <w:rsid w:val="00316DFD"/>
    <w:rsid w:val="00316EE4"/>
    <w:rsid w:val="00316FE5"/>
    <w:rsid w:val="003172A7"/>
    <w:rsid w:val="00317D2D"/>
    <w:rsid w:val="00320BBE"/>
    <w:rsid w:val="00321A79"/>
    <w:rsid w:val="00322373"/>
    <w:rsid w:val="00324524"/>
    <w:rsid w:val="00325018"/>
    <w:rsid w:val="00325069"/>
    <w:rsid w:val="00325254"/>
    <w:rsid w:val="003257D9"/>
    <w:rsid w:val="00325A9E"/>
    <w:rsid w:val="00325E0A"/>
    <w:rsid w:val="0032612B"/>
    <w:rsid w:val="00326E64"/>
    <w:rsid w:val="003279C8"/>
    <w:rsid w:val="003302F5"/>
    <w:rsid w:val="003306A2"/>
    <w:rsid w:val="00330D46"/>
    <w:rsid w:val="00331625"/>
    <w:rsid w:val="00331931"/>
    <w:rsid w:val="00331FA2"/>
    <w:rsid w:val="0033361C"/>
    <w:rsid w:val="003337C6"/>
    <w:rsid w:val="0033440F"/>
    <w:rsid w:val="003347F7"/>
    <w:rsid w:val="00335639"/>
    <w:rsid w:val="0033628F"/>
    <w:rsid w:val="003363C7"/>
    <w:rsid w:val="00336CC0"/>
    <w:rsid w:val="00337868"/>
    <w:rsid w:val="0034047C"/>
    <w:rsid w:val="003408F0"/>
    <w:rsid w:val="00340F88"/>
    <w:rsid w:val="003413EC"/>
    <w:rsid w:val="00341D4C"/>
    <w:rsid w:val="00341F59"/>
    <w:rsid w:val="0034207F"/>
    <w:rsid w:val="00342297"/>
    <w:rsid w:val="003425C3"/>
    <w:rsid w:val="00343100"/>
    <w:rsid w:val="00343F93"/>
    <w:rsid w:val="0034454A"/>
    <w:rsid w:val="0034494D"/>
    <w:rsid w:val="00344976"/>
    <w:rsid w:val="0034538A"/>
    <w:rsid w:val="00345BBC"/>
    <w:rsid w:val="00346ADF"/>
    <w:rsid w:val="0034741F"/>
    <w:rsid w:val="00347812"/>
    <w:rsid w:val="0035068B"/>
    <w:rsid w:val="003511B2"/>
    <w:rsid w:val="00351996"/>
    <w:rsid w:val="0035206E"/>
    <w:rsid w:val="00354A7F"/>
    <w:rsid w:val="00355826"/>
    <w:rsid w:val="003558F6"/>
    <w:rsid w:val="00355F79"/>
    <w:rsid w:val="00356026"/>
    <w:rsid w:val="003563B4"/>
    <w:rsid w:val="00356A79"/>
    <w:rsid w:val="00360977"/>
    <w:rsid w:val="003609C1"/>
    <w:rsid w:val="0036126C"/>
    <w:rsid w:val="00361ECA"/>
    <w:rsid w:val="0036200D"/>
    <w:rsid w:val="0036258B"/>
    <w:rsid w:val="00362A66"/>
    <w:rsid w:val="00362F60"/>
    <w:rsid w:val="003636CF"/>
    <w:rsid w:val="00364559"/>
    <w:rsid w:val="00365DA4"/>
    <w:rsid w:val="00366E1B"/>
    <w:rsid w:val="0036747C"/>
    <w:rsid w:val="00370000"/>
    <w:rsid w:val="00370C5B"/>
    <w:rsid w:val="00371A70"/>
    <w:rsid w:val="003727CD"/>
    <w:rsid w:val="003731E8"/>
    <w:rsid w:val="0037538F"/>
    <w:rsid w:val="003753F7"/>
    <w:rsid w:val="003756A1"/>
    <w:rsid w:val="0037590F"/>
    <w:rsid w:val="00375A74"/>
    <w:rsid w:val="00375DE3"/>
    <w:rsid w:val="003762BC"/>
    <w:rsid w:val="003763C4"/>
    <w:rsid w:val="00376A37"/>
    <w:rsid w:val="00376FAE"/>
    <w:rsid w:val="0037725F"/>
    <w:rsid w:val="0037727C"/>
    <w:rsid w:val="003803CA"/>
    <w:rsid w:val="00380438"/>
    <w:rsid w:val="0038051D"/>
    <w:rsid w:val="003805E5"/>
    <w:rsid w:val="003816D6"/>
    <w:rsid w:val="003824AA"/>
    <w:rsid w:val="00383FF6"/>
    <w:rsid w:val="00384026"/>
    <w:rsid w:val="00384ADF"/>
    <w:rsid w:val="0038559E"/>
    <w:rsid w:val="00385746"/>
    <w:rsid w:val="00387193"/>
    <w:rsid w:val="0039016B"/>
    <w:rsid w:val="00390336"/>
    <w:rsid w:val="00390B7F"/>
    <w:rsid w:val="00391623"/>
    <w:rsid w:val="00391FDE"/>
    <w:rsid w:val="00392102"/>
    <w:rsid w:val="0039312D"/>
    <w:rsid w:val="00393A64"/>
    <w:rsid w:val="00393FAA"/>
    <w:rsid w:val="0039415F"/>
    <w:rsid w:val="0039477E"/>
    <w:rsid w:val="003954A4"/>
    <w:rsid w:val="00395DCA"/>
    <w:rsid w:val="00395E6F"/>
    <w:rsid w:val="00396D03"/>
    <w:rsid w:val="003972DF"/>
    <w:rsid w:val="003975FB"/>
    <w:rsid w:val="003A2BFF"/>
    <w:rsid w:val="003A2FE3"/>
    <w:rsid w:val="003A3059"/>
    <w:rsid w:val="003A3301"/>
    <w:rsid w:val="003A3ACA"/>
    <w:rsid w:val="003A3D8A"/>
    <w:rsid w:val="003A3E80"/>
    <w:rsid w:val="003A3F2F"/>
    <w:rsid w:val="003A414F"/>
    <w:rsid w:val="003A4666"/>
    <w:rsid w:val="003A538F"/>
    <w:rsid w:val="003A53EA"/>
    <w:rsid w:val="003A5BFE"/>
    <w:rsid w:val="003A607D"/>
    <w:rsid w:val="003A7302"/>
    <w:rsid w:val="003A7AFC"/>
    <w:rsid w:val="003A7D99"/>
    <w:rsid w:val="003A7E54"/>
    <w:rsid w:val="003A7E6D"/>
    <w:rsid w:val="003A7F41"/>
    <w:rsid w:val="003B0651"/>
    <w:rsid w:val="003B0FCB"/>
    <w:rsid w:val="003B1D62"/>
    <w:rsid w:val="003B23B0"/>
    <w:rsid w:val="003B2E0D"/>
    <w:rsid w:val="003B2F4B"/>
    <w:rsid w:val="003B3A12"/>
    <w:rsid w:val="003B443D"/>
    <w:rsid w:val="003B4532"/>
    <w:rsid w:val="003B4750"/>
    <w:rsid w:val="003B5245"/>
    <w:rsid w:val="003B53BD"/>
    <w:rsid w:val="003B5C61"/>
    <w:rsid w:val="003B6C2E"/>
    <w:rsid w:val="003B70F6"/>
    <w:rsid w:val="003B71A1"/>
    <w:rsid w:val="003B74BE"/>
    <w:rsid w:val="003B75ED"/>
    <w:rsid w:val="003B7771"/>
    <w:rsid w:val="003B781C"/>
    <w:rsid w:val="003C0225"/>
    <w:rsid w:val="003C1C0B"/>
    <w:rsid w:val="003C1F69"/>
    <w:rsid w:val="003C25F9"/>
    <w:rsid w:val="003C29FC"/>
    <w:rsid w:val="003C2BDA"/>
    <w:rsid w:val="003C2C0D"/>
    <w:rsid w:val="003C2C66"/>
    <w:rsid w:val="003C2D2F"/>
    <w:rsid w:val="003C300B"/>
    <w:rsid w:val="003C3B57"/>
    <w:rsid w:val="003C5159"/>
    <w:rsid w:val="003C5557"/>
    <w:rsid w:val="003C590A"/>
    <w:rsid w:val="003C75D1"/>
    <w:rsid w:val="003C7D07"/>
    <w:rsid w:val="003D178C"/>
    <w:rsid w:val="003D1943"/>
    <w:rsid w:val="003D1B95"/>
    <w:rsid w:val="003D2616"/>
    <w:rsid w:val="003D3F0A"/>
    <w:rsid w:val="003D3FD6"/>
    <w:rsid w:val="003D4029"/>
    <w:rsid w:val="003D44EC"/>
    <w:rsid w:val="003D4831"/>
    <w:rsid w:val="003D4EF4"/>
    <w:rsid w:val="003D4F8B"/>
    <w:rsid w:val="003D52C6"/>
    <w:rsid w:val="003D5307"/>
    <w:rsid w:val="003D558E"/>
    <w:rsid w:val="003D5C55"/>
    <w:rsid w:val="003D62C5"/>
    <w:rsid w:val="003D63B3"/>
    <w:rsid w:val="003D63E5"/>
    <w:rsid w:val="003D66C9"/>
    <w:rsid w:val="003D70B4"/>
    <w:rsid w:val="003D70C8"/>
    <w:rsid w:val="003E02D9"/>
    <w:rsid w:val="003E07D5"/>
    <w:rsid w:val="003E0C51"/>
    <w:rsid w:val="003E10A8"/>
    <w:rsid w:val="003E1BAD"/>
    <w:rsid w:val="003E1D2E"/>
    <w:rsid w:val="003E26E7"/>
    <w:rsid w:val="003E329B"/>
    <w:rsid w:val="003E32BF"/>
    <w:rsid w:val="003E3307"/>
    <w:rsid w:val="003E41A4"/>
    <w:rsid w:val="003E42C6"/>
    <w:rsid w:val="003E4809"/>
    <w:rsid w:val="003E48F1"/>
    <w:rsid w:val="003E5011"/>
    <w:rsid w:val="003E55A4"/>
    <w:rsid w:val="003E5C58"/>
    <w:rsid w:val="003E7615"/>
    <w:rsid w:val="003E7911"/>
    <w:rsid w:val="003F009A"/>
    <w:rsid w:val="003F070B"/>
    <w:rsid w:val="003F0C6C"/>
    <w:rsid w:val="003F0DD8"/>
    <w:rsid w:val="003F1A32"/>
    <w:rsid w:val="003F1DFD"/>
    <w:rsid w:val="003F1ED4"/>
    <w:rsid w:val="003F2F8E"/>
    <w:rsid w:val="003F3506"/>
    <w:rsid w:val="003F38A2"/>
    <w:rsid w:val="003F3A15"/>
    <w:rsid w:val="003F3FCF"/>
    <w:rsid w:val="003F44AC"/>
    <w:rsid w:val="003F5238"/>
    <w:rsid w:val="003F5A35"/>
    <w:rsid w:val="003F5EDD"/>
    <w:rsid w:val="003F6637"/>
    <w:rsid w:val="003F6806"/>
    <w:rsid w:val="003F6BDD"/>
    <w:rsid w:val="003F782D"/>
    <w:rsid w:val="003F7C1A"/>
    <w:rsid w:val="003F7EFB"/>
    <w:rsid w:val="004012A4"/>
    <w:rsid w:val="00401A29"/>
    <w:rsid w:val="004024A9"/>
    <w:rsid w:val="004028D1"/>
    <w:rsid w:val="0040292D"/>
    <w:rsid w:val="00402A2C"/>
    <w:rsid w:val="00402A47"/>
    <w:rsid w:val="00402CE5"/>
    <w:rsid w:val="004030D9"/>
    <w:rsid w:val="0040337A"/>
    <w:rsid w:val="004034E3"/>
    <w:rsid w:val="00403D9C"/>
    <w:rsid w:val="00404DEE"/>
    <w:rsid w:val="00405379"/>
    <w:rsid w:val="00405CE9"/>
    <w:rsid w:val="004060E8"/>
    <w:rsid w:val="004069F6"/>
    <w:rsid w:val="00406A27"/>
    <w:rsid w:val="0040743E"/>
    <w:rsid w:val="0040777B"/>
    <w:rsid w:val="004077EC"/>
    <w:rsid w:val="00407885"/>
    <w:rsid w:val="004100F3"/>
    <w:rsid w:val="00410137"/>
    <w:rsid w:val="00412CA9"/>
    <w:rsid w:val="00413520"/>
    <w:rsid w:val="00413B93"/>
    <w:rsid w:val="00414913"/>
    <w:rsid w:val="00414C7D"/>
    <w:rsid w:val="00414F4F"/>
    <w:rsid w:val="004155E5"/>
    <w:rsid w:val="00415D09"/>
    <w:rsid w:val="00416180"/>
    <w:rsid w:val="00417039"/>
    <w:rsid w:val="00417333"/>
    <w:rsid w:val="004178B0"/>
    <w:rsid w:val="00417B22"/>
    <w:rsid w:val="00417D81"/>
    <w:rsid w:val="00417EBE"/>
    <w:rsid w:val="004205B6"/>
    <w:rsid w:val="00420898"/>
    <w:rsid w:val="00420F37"/>
    <w:rsid w:val="004232F5"/>
    <w:rsid w:val="00423BC4"/>
    <w:rsid w:val="00423F1F"/>
    <w:rsid w:val="0042404A"/>
    <w:rsid w:val="004247A7"/>
    <w:rsid w:val="004253CE"/>
    <w:rsid w:val="0042583E"/>
    <w:rsid w:val="0042583F"/>
    <w:rsid w:val="0042596B"/>
    <w:rsid w:val="00425FE5"/>
    <w:rsid w:val="00426153"/>
    <w:rsid w:val="00427B99"/>
    <w:rsid w:val="0043001B"/>
    <w:rsid w:val="00431B86"/>
    <w:rsid w:val="0043293F"/>
    <w:rsid w:val="004329DF"/>
    <w:rsid w:val="004335DB"/>
    <w:rsid w:val="00433A80"/>
    <w:rsid w:val="00433F43"/>
    <w:rsid w:val="004342DF"/>
    <w:rsid w:val="004343B1"/>
    <w:rsid w:val="00434EAB"/>
    <w:rsid w:val="004352D3"/>
    <w:rsid w:val="004354A1"/>
    <w:rsid w:val="00435868"/>
    <w:rsid w:val="00436175"/>
    <w:rsid w:val="004369E5"/>
    <w:rsid w:val="00437284"/>
    <w:rsid w:val="00437842"/>
    <w:rsid w:val="00437C9B"/>
    <w:rsid w:val="0044145F"/>
    <w:rsid w:val="0044148B"/>
    <w:rsid w:val="0044202A"/>
    <w:rsid w:val="004435BE"/>
    <w:rsid w:val="00443CB9"/>
    <w:rsid w:val="00444D80"/>
    <w:rsid w:val="0044611A"/>
    <w:rsid w:val="00446B9A"/>
    <w:rsid w:val="004479A8"/>
    <w:rsid w:val="0045111A"/>
    <w:rsid w:val="004514A8"/>
    <w:rsid w:val="004521B8"/>
    <w:rsid w:val="004521BF"/>
    <w:rsid w:val="00452294"/>
    <w:rsid w:val="00452568"/>
    <w:rsid w:val="00452C59"/>
    <w:rsid w:val="00453399"/>
    <w:rsid w:val="0045376B"/>
    <w:rsid w:val="004546C8"/>
    <w:rsid w:val="004547DD"/>
    <w:rsid w:val="00454F58"/>
    <w:rsid w:val="004551B7"/>
    <w:rsid w:val="00455994"/>
    <w:rsid w:val="004565BF"/>
    <w:rsid w:val="00456F3C"/>
    <w:rsid w:val="004574B7"/>
    <w:rsid w:val="00457963"/>
    <w:rsid w:val="0045796F"/>
    <w:rsid w:val="00460022"/>
    <w:rsid w:val="00460B70"/>
    <w:rsid w:val="00460EB8"/>
    <w:rsid w:val="00461991"/>
    <w:rsid w:val="00461AF6"/>
    <w:rsid w:val="004620C7"/>
    <w:rsid w:val="004626FE"/>
    <w:rsid w:val="00463AE2"/>
    <w:rsid w:val="00463E1E"/>
    <w:rsid w:val="0046413C"/>
    <w:rsid w:val="0046421C"/>
    <w:rsid w:val="004646F8"/>
    <w:rsid w:val="00464A44"/>
    <w:rsid w:val="0046505F"/>
    <w:rsid w:val="00465844"/>
    <w:rsid w:val="00465BAF"/>
    <w:rsid w:val="00466199"/>
    <w:rsid w:val="004664F8"/>
    <w:rsid w:val="00467742"/>
    <w:rsid w:val="00467BF7"/>
    <w:rsid w:val="00467E01"/>
    <w:rsid w:val="0047077E"/>
    <w:rsid w:val="00470ABF"/>
    <w:rsid w:val="00471446"/>
    <w:rsid w:val="00472EC8"/>
    <w:rsid w:val="00472F53"/>
    <w:rsid w:val="00473505"/>
    <w:rsid w:val="00473E66"/>
    <w:rsid w:val="004744DC"/>
    <w:rsid w:val="00475145"/>
    <w:rsid w:val="00475624"/>
    <w:rsid w:val="00475C60"/>
    <w:rsid w:val="00475F2F"/>
    <w:rsid w:val="00477CF3"/>
    <w:rsid w:val="00481819"/>
    <w:rsid w:val="00481A08"/>
    <w:rsid w:val="00482114"/>
    <w:rsid w:val="0048263F"/>
    <w:rsid w:val="00482D14"/>
    <w:rsid w:val="0048370C"/>
    <w:rsid w:val="00483FC7"/>
    <w:rsid w:val="00484F7A"/>
    <w:rsid w:val="0048565A"/>
    <w:rsid w:val="00485885"/>
    <w:rsid w:val="0048667B"/>
    <w:rsid w:val="00486EAC"/>
    <w:rsid w:val="00487817"/>
    <w:rsid w:val="004902CA"/>
    <w:rsid w:val="00490510"/>
    <w:rsid w:val="004910D6"/>
    <w:rsid w:val="004915C4"/>
    <w:rsid w:val="004918EE"/>
    <w:rsid w:val="004925A6"/>
    <w:rsid w:val="0049370D"/>
    <w:rsid w:val="00493817"/>
    <w:rsid w:val="00494963"/>
    <w:rsid w:val="00494D37"/>
    <w:rsid w:val="004950C6"/>
    <w:rsid w:val="004968A0"/>
    <w:rsid w:val="004A0EB5"/>
    <w:rsid w:val="004A1C1F"/>
    <w:rsid w:val="004A1EEE"/>
    <w:rsid w:val="004A2247"/>
    <w:rsid w:val="004A2AD0"/>
    <w:rsid w:val="004A3916"/>
    <w:rsid w:val="004A4802"/>
    <w:rsid w:val="004A4A3B"/>
    <w:rsid w:val="004A4D43"/>
    <w:rsid w:val="004A5CCA"/>
    <w:rsid w:val="004A67D5"/>
    <w:rsid w:val="004A70AE"/>
    <w:rsid w:val="004A7370"/>
    <w:rsid w:val="004B1C3E"/>
    <w:rsid w:val="004B1E98"/>
    <w:rsid w:val="004B244E"/>
    <w:rsid w:val="004B26FF"/>
    <w:rsid w:val="004B2721"/>
    <w:rsid w:val="004B2751"/>
    <w:rsid w:val="004B314F"/>
    <w:rsid w:val="004B40AB"/>
    <w:rsid w:val="004B4CE1"/>
    <w:rsid w:val="004B4EC9"/>
    <w:rsid w:val="004B5875"/>
    <w:rsid w:val="004B6088"/>
    <w:rsid w:val="004B66AE"/>
    <w:rsid w:val="004C04E3"/>
    <w:rsid w:val="004C118A"/>
    <w:rsid w:val="004C2263"/>
    <w:rsid w:val="004C2B44"/>
    <w:rsid w:val="004C2DF8"/>
    <w:rsid w:val="004C2EC4"/>
    <w:rsid w:val="004C300E"/>
    <w:rsid w:val="004C4381"/>
    <w:rsid w:val="004C630B"/>
    <w:rsid w:val="004C6494"/>
    <w:rsid w:val="004C66EB"/>
    <w:rsid w:val="004C6BD5"/>
    <w:rsid w:val="004C6E0D"/>
    <w:rsid w:val="004C72DA"/>
    <w:rsid w:val="004C7D44"/>
    <w:rsid w:val="004D014A"/>
    <w:rsid w:val="004D085E"/>
    <w:rsid w:val="004D09C4"/>
    <w:rsid w:val="004D0D2A"/>
    <w:rsid w:val="004D17F8"/>
    <w:rsid w:val="004D26BC"/>
    <w:rsid w:val="004D3A6B"/>
    <w:rsid w:val="004D3ACE"/>
    <w:rsid w:val="004D4288"/>
    <w:rsid w:val="004D4733"/>
    <w:rsid w:val="004D4E40"/>
    <w:rsid w:val="004D5882"/>
    <w:rsid w:val="004D6821"/>
    <w:rsid w:val="004E0399"/>
    <w:rsid w:val="004E08E2"/>
    <w:rsid w:val="004E0E3E"/>
    <w:rsid w:val="004E22A8"/>
    <w:rsid w:val="004E23D1"/>
    <w:rsid w:val="004E2496"/>
    <w:rsid w:val="004E283A"/>
    <w:rsid w:val="004E2E23"/>
    <w:rsid w:val="004E2E7E"/>
    <w:rsid w:val="004E5D96"/>
    <w:rsid w:val="004E60F4"/>
    <w:rsid w:val="004E66B7"/>
    <w:rsid w:val="004E6EDB"/>
    <w:rsid w:val="004E78B5"/>
    <w:rsid w:val="004E7EDC"/>
    <w:rsid w:val="004F03F3"/>
    <w:rsid w:val="004F0638"/>
    <w:rsid w:val="004F08F8"/>
    <w:rsid w:val="004F0FB3"/>
    <w:rsid w:val="004F1C43"/>
    <w:rsid w:val="004F22E4"/>
    <w:rsid w:val="004F4701"/>
    <w:rsid w:val="004F5B45"/>
    <w:rsid w:val="004F6B8D"/>
    <w:rsid w:val="004F6D84"/>
    <w:rsid w:val="004F777D"/>
    <w:rsid w:val="004F7BAE"/>
    <w:rsid w:val="00500C6B"/>
    <w:rsid w:val="0050214D"/>
    <w:rsid w:val="005021BD"/>
    <w:rsid w:val="00503F05"/>
    <w:rsid w:val="00504037"/>
    <w:rsid w:val="005040D3"/>
    <w:rsid w:val="00504152"/>
    <w:rsid w:val="005047D7"/>
    <w:rsid w:val="005059C8"/>
    <w:rsid w:val="00505E4F"/>
    <w:rsid w:val="00506B38"/>
    <w:rsid w:val="00507966"/>
    <w:rsid w:val="00507B7B"/>
    <w:rsid w:val="00507F8E"/>
    <w:rsid w:val="00510E09"/>
    <w:rsid w:val="0051166C"/>
    <w:rsid w:val="00511BC1"/>
    <w:rsid w:val="00511DD3"/>
    <w:rsid w:val="00512FAD"/>
    <w:rsid w:val="00513D22"/>
    <w:rsid w:val="005157F8"/>
    <w:rsid w:val="00517156"/>
    <w:rsid w:val="005172CF"/>
    <w:rsid w:val="005174D7"/>
    <w:rsid w:val="00517A06"/>
    <w:rsid w:val="00517CE0"/>
    <w:rsid w:val="00522D70"/>
    <w:rsid w:val="0052303F"/>
    <w:rsid w:val="005230A9"/>
    <w:rsid w:val="00523560"/>
    <w:rsid w:val="0052383B"/>
    <w:rsid w:val="00524EFB"/>
    <w:rsid w:val="00525264"/>
    <w:rsid w:val="00525385"/>
    <w:rsid w:val="005254C7"/>
    <w:rsid w:val="00525739"/>
    <w:rsid w:val="005269A1"/>
    <w:rsid w:val="00526FB4"/>
    <w:rsid w:val="005310D1"/>
    <w:rsid w:val="0053145C"/>
    <w:rsid w:val="00531BE4"/>
    <w:rsid w:val="00531C6F"/>
    <w:rsid w:val="00532360"/>
    <w:rsid w:val="0053274D"/>
    <w:rsid w:val="005327B9"/>
    <w:rsid w:val="00533D0F"/>
    <w:rsid w:val="00533F48"/>
    <w:rsid w:val="005346D7"/>
    <w:rsid w:val="00534DA9"/>
    <w:rsid w:val="0053703D"/>
    <w:rsid w:val="005370D3"/>
    <w:rsid w:val="00537C89"/>
    <w:rsid w:val="00540AA0"/>
    <w:rsid w:val="00541204"/>
    <w:rsid w:val="00541737"/>
    <w:rsid w:val="00541B21"/>
    <w:rsid w:val="00542011"/>
    <w:rsid w:val="00542176"/>
    <w:rsid w:val="00542301"/>
    <w:rsid w:val="005423F5"/>
    <w:rsid w:val="00543087"/>
    <w:rsid w:val="00543D2A"/>
    <w:rsid w:val="00543DF9"/>
    <w:rsid w:val="00544D97"/>
    <w:rsid w:val="00545352"/>
    <w:rsid w:val="0054568A"/>
    <w:rsid w:val="00545F51"/>
    <w:rsid w:val="00546234"/>
    <w:rsid w:val="00546BB4"/>
    <w:rsid w:val="005471ED"/>
    <w:rsid w:val="005504FF"/>
    <w:rsid w:val="00550F4C"/>
    <w:rsid w:val="00551010"/>
    <w:rsid w:val="005516A4"/>
    <w:rsid w:val="00553A18"/>
    <w:rsid w:val="005542F9"/>
    <w:rsid w:val="00554845"/>
    <w:rsid w:val="00554A12"/>
    <w:rsid w:val="00554EA2"/>
    <w:rsid w:val="005550A5"/>
    <w:rsid w:val="00555230"/>
    <w:rsid w:val="00555BDA"/>
    <w:rsid w:val="00555F53"/>
    <w:rsid w:val="00556110"/>
    <w:rsid w:val="005567D1"/>
    <w:rsid w:val="00556EBA"/>
    <w:rsid w:val="00557C97"/>
    <w:rsid w:val="00557CF6"/>
    <w:rsid w:val="005601B8"/>
    <w:rsid w:val="005602D3"/>
    <w:rsid w:val="00560B95"/>
    <w:rsid w:val="00561A19"/>
    <w:rsid w:val="00561B79"/>
    <w:rsid w:val="005625AA"/>
    <w:rsid w:val="00562711"/>
    <w:rsid w:val="00562927"/>
    <w:rsid w:val="00562C57"/>
    <w:rsid w:val="00564630"/>
    <w:rsid w:val="0056463E"/>
    <w:rsid w:val="00564BB0"/>
    <w:rsid w:val="00565168"/>
    <w:rsid w:val="005654D3"/>
    <w:rsid w:val="0056617E"/>
    <w:rsid w:val="005664AB"/>
    <w:rsid w:val="005664B7"/>
    <w:rsid w:val="00566D20"/>
    <w:rsid w:val="00566E04"/>
    <w:rsid w:val="00567685"/>
    <w:rsid w:val="005722EC"/>
    <w:rsid w:val="0057269C"/>
    <w:rsid w:val="00573E71"/>
    <w:rsid w:val="00575ABF"/>
    <w:rsid w:val="00575DAA"/>
    <w:rsid w:val="00576B3C"/>
    <w:rsid w:val="00577A46"/>
    <w:rsid w:val="005808C1"/>
    <w:rsid w:val="00580D1B"/>
    <w:rsid w:val="0058141C"/>
    <w:rsid w:val="005815B0"/>
    <w:rsid w:val="005822D3"/>
    <w:rsid w:val="00582406"/>
    <w:rsid w:val="005824BF"/>
    <w:rsid w:val="00582A5E"/>
    <w:rsid w:val="00582B69"/>
    <w:rsid w:val="00583B6B"/>
    <w:rsid w:val="005843D3"/>
    <w:rsid w:val="00584C06"/>
    <w:rsid w:val="00584E29"/>
    <w:rsid w:val="00585440"/>
    <w:rsid w:val="0058629F"/>
    <w:rsid w:val="00586E15"/>
    <w:rsid w:val="0058766E"/>
    <w:rsid w:val="00587DEC"/>
    <w:rsid w:val="00591195"/>
    <w:rsid w:val="005916FB"/>
    <w:rsid w:val="00591A24"/>
    <w:rsid w:val="00591BB6"/>
    <w:rsid w:val="005922B3"/>
    <w:rsid w:val="00592C65"/>
    <w:rsid w:val="00593334"/>
    <w:rsid w:val="0059378B"/>
    <w:rsid w:val="00593EF8"/>
    <w:rsid w:val="00594773"/>
    <w:rsid w:val="00594B88"/>
    <w:rsid w:val="0059548C"/>
    <w:rsid w:val="00595D1D"/>
    <w:rsid w:val="00596496"/>
    <w:rsid w:val="0059649A"/>
    <w:rsid w:val="00596B39"/>
    <w:rsid w:val="00596CF7"/>
    <w:rsid w:val="00596F6F"/>
    <w:rsid w:val="0059706F"/>
    <w:rsid w:val="00597959"/>
    <w:rsid w:val="00597C60"/>
    <w:rsid w:val="005A018A"/>
    <w:rsid w:val="005A09FD"/>
    <w:rsid w:val="005A0EDD"/>
    <w:rsid w:val="005A0FD2"/>
    <w:rsid w:val="005A11CC"/>
    <w:rsid w:val="005A12C1"/>
    <w:rsid w:val="005A135A"/>
    <w:rsid w:val="005A187B"/>
    <w:rsid w:val="005A28B7"/>
    <w:rsid w:val="005A2B11"/>
    <w:rsid w:val="005A2FCF"/>
    <w:rsid w:val="005A46E2"/>
    <w:rsid w:val="005A4BFD"/>
    <w:rsid w:val="005A6024"/>
    <w:rsid w:val="005A61C4"/>
    <w:rsid w:val="005A63A5"/>
    <w:rsid w:val="005A67D7"/>
    <w:rsid w:val="005A73B1"/>
    <w:rsid w:val="005B075B"/>
    <w:rsid w:val="005B0F24"/>
    <w:rsid w:val="005B2826"/>
    <w:rsid w:val="005B4E24"/>
    <w:rsid w:val="005B5541"/>
    <w:rsid w:val="005B587B"/>
    <w:rsid w:val="005B5DA0"/>
    <w:rsid w:val="005B65A5"/>
    <w:rsid w:val="005B6842"/>
    <w:rsid w:val="005B6B22"/>
    <w:rsid w:val="005C04AB"/>
    <w:rsid w:val="005C0DAF"/>
    <w:rsid w:val="005C0FE4"/>
    <w:rsid w:val="005C1E38"/>
    <w:rsid w:val="005C2112"/>
    <w:rsid w:val="005C2245"/>
    <w:rsid w:val="005C3142"/>
    <w:rsid w:val="005C3AFE"/>
    <w:rsid w:val="005C3EF5"/>
    <w:rsid w:val="005C3F10"/>
    <w:rsid w:val="005C42B0"/>
    <w:rsid w:val="005C48BC"/>
    <w:rsid w:val="005C4A6F"/>
    <w:rsid w:val="005C4B58"/>
    <w:rsid w:val="005C79B4"/>
    <w:rsid w:val="005D0130"/>
    <w:rsid w:val="005D1F44"/>
    <w:rsid w:val="005D21B8"/>
    <w:rsid w:val="005D2752"/>
    <w:rsid w:val="005D304E"/>
    <w:rsid w:val="005D39A7"/>
    <w:rsid w:val="005D3BC3"/>
    <w:rsid w:val="005D3F40"/>
    <w:rsid w:val="005D405E"/>
    <w:rsid w:val="005D4FD0"/>
    <w:rsid w:val="005D622A"/>
    <w:rsid w:val="005D6763"/>
    <w:rsid w:val="005D6796"/>
    <w:rsid w:val="005D67A9"/>
    <w:rsid w:val="005D72DA"/>
    <w:rsid w:val="005D742B"/>
    <w:rsid w:val="005D7F05"/>
    <w:rsid w:val="005E0CDA"/>
    <w:rsid w:val="005E13E8"/>
    <w:rsid w:val="005E209A"/>
    <w:rsid w:val="005E22F3"/>
    <w:rsid w:val="005E3C28"/>
    <w:rsid w:val="005E3F3A"/>
    <w:rsid w:val="005E69D4"/>
    <w:rsid w:val="005E7399"/>
    <w:rsid w:val="005E7785"/>
    <w:rsid w:val="005E7EEE"/>
    <w:rsid w:val="005F15E0"/>
    <w:rsid w:val="005F1604"/>
    <w:rsid w:val="005F1870"/>
    <w:rsid w:val="005F277D"/>
    <w:rsid w:val="005F280D"/>
    <w:rsid w:val="005F2B34"/>
    <w:rsid w:val="005F2FD2"/>
    <w:rsid w:val="005F31B1"/>
    <w:rsid w:val="005F3BFD"/>
    <w:rsid w:val="005F4F76"/>
    <w:rsid w:val="005F586B"/>
    <w:rsid w:val="005F70A7"/>
    <w:rsid w:val="00601341"/>
    <w:rsid w:val="006027E3"/>
    <w:rsid w:val="006035AB"/>
    <w:rsid w:val="0060377B"/>
    <w:rsid w:val="006039DD"/>
    <w:rsid w:val="00603AFA"/>
    <w:rsid w:val="00603CE8"/>
    <w:rsid w:val="00604B4C"/>
    <w:rsid w:val="00604D0D"/>
    <w:rsid w:val="00605ECF"/>
    <w:rsid w:val="0060668A"/>
    <w:rsid w:val="00607178"/>
    <w:rsid w:val="006077C4"/>
    <w:rsid w:val="00607A96"/>
    <w:rsid w:val="0061013E"/>
    <w:rsid w:val="006105C2"/>
    <w:rsid w:val="00610636"/>
    <w:rsid w:val="006116F7"/>
    <w:rsid w:val="00611B45"/>
    <w:rsid w:val="00612169"/>
    <w:rsid w:val="00612D2E"/>
    <w:rsid w:val="006131BC"/>
    <w:rsid w:val="0061394B"/>
    <w:rsid w:val="0061535D"/>
    <w:rsid w:val="00615673"/>
    <w:rsid w:val="00616561"/>
    <w:rsid w:val="006167EF"/>
    <w:rsid w:val="00616D97"/>
    <w:rsid w:val="00620776"/>
    <w:rsid w:val="00620CEE"/>
    <w:rsid w:val="00622CE8"/>
    <w:rsid w:val="00623492"/>
    <w:rsid w:val="00624360"/>
    <w:rsid w:val="006247EE"/>
    <w:rsid w:val="00625EF4"/>
    <w:rsid w:val="0062603E"/>
    <w:rsid w:val="00626234"/>
    <w:rsid w:val="00627A7D"/>
    <w:rsid w:val="00627C45"/>
    <w:rsid w:val="006310C1"/>
    <w:rsid w:val="00631E3B"/>
    <w:rsid w:val="00632137"/>
    <w:rsid w:val="00632211"/>
    <w:rsid w:val="00632F36"/>
    <w:rsid w:val="00632F6B"/>
    <w:rsid w:val="00634DC0"/>
    <w:rsid w:val="00635B04"/>
    <w:rsid w:val="00636211"/>
    <w:rsid w:val="006364F7"/>
    <w:rsid w:val="0063799B"/>
    <w:rsid w:val="00637C68"/>
    <w:rsid w:val="00637E93"/>
    <w:rsid w:val="00641307"/>
    <w:rsid w:val="00641ED0"/>
    <w:rsid w:val="0064251E"/>
    <w:rsid w:val="00644A84"/>
    <w:rsid w:val="00644C01"/>
    <w:rsid w:val="00644F09"/>
    <w:rsid w:val="006451D0"/>
    <w:rsid w:val="00647093"/>
    <w:rsid w:val="006471EC"/>
    <w:rsid w:val="006473C2"/>
    <w:rsid w:val="00647F32"/>
    <w:rsid w:val="006502C2"/>
    <w:rsid w:val="00650535"/>
    <w:rsid w:val="00650AEC"/>
    <w:rsid w:val="00650F8A"/>
    <w:rsid w:val="006510E4"/>
    <w:rsid w:val="0065203B"/>
    <w:rsid w:val="00652B82"/>
    <w:rsid w:val="00652CD3"/>
    <w:rsid w:val="00653896"/>
    <w:rsid w:val="00654BFF"/>
    <w:rsid w:val="00654E91"/>
    <w:rsid w:val="006572F0"/>
    <w:rsid w:val="0065751D"/>
    <w:rsid w:val="00657BD2"/>
    <w:rsid w:val="0066034F"/>
    <w:rsid w:val="0066072A"/>
    <w:rsid w:val="00660A05"/>
    <w:rsid w:val="006612EC"/>
    <w:rsid w:val="0066301C"/>
    <w:rsid w:val="00663073"/>
    <w:rsid w:val="006630A7"/>
    <w:rsid w:val="00663CDF"/>
    <w:rsid w:val="00663F42"/>
    <w:rsid w:val="00663F50"/>
    <w:rsid w:val="00664075"/>
    <w:rsid w:val="00664787"/>
    <w:rsid w:val="00665251"/>
    <w:rsid w:val="00665B44"/>
    <w:rsid w:val="00666F26"/>
    <w:rsid w:val="00667922"/>
    <w:rsid w:val="00670D8B"/>
    <w:rsid w:val="0067228A"/>
    <w:rsid w:val="00672F1B"/>
    <w:rsid w:val="006730D3"/>
    <w:rsid w:val="0067478C"/>
    <w:rsid w:val="0067553D"/>
    <w:rsid w:val="006757AD"/>
    <w:rsid w:val="00676142"/>
    <w:rsid w:val="00676908"/>
    <w:rsid w:val="00677476"/>
    <w:rsid w:val="00677CF9"/>
    <w:rsid w:val="00680030"/>
    <w:rsid w:val="00680C1C"/>
    <w:rsid w:val="006828B9"/>
    <w:rsid w:val="006838F2"/>
    <w:rsid w:val="00685B21"/>
    <w:rsid w:val="00685CEE"/>
    <w:rsid w:val="00687203"/>
    <w:rsid w:val="00687647"/>
    <w:rsid w:val="0069036A"/>
    <w:rsid w:val="006905D1"/>
    <w:rsid w:val="006907DD"/>
    <w:rsid w:val="00691348"/>
    <w:rsid w:val="00691E31"/>
    <w:rsid w:val="00691F19"/>
    <w:rsid w:val="00691F77"/>
    <w:rsid w:val="006920A9"/>
    <w:rsid w:val="006933DC"/>
    <w:rsid w:val="0069378D"/>
    <w:rsid w:val="0069404F"/>
    <w:rsid w:val="006949AB"/>
    <w:rsid w:val="00694D4B"/>
    <w:rsid w:val="00694F35"/>
    <w:rsid w:val="006950BF"/>
    <w:rsid w:val="006965BC"/>
    <w:rsid w:val="00697FAA"/>
    <w:rsid w:val="006A09EE"/>
    <w:rsid w:val="006A0EE1"/>
    <w:rsid w:val="006A2255"/>
    <w:rsid w:val="006A30ED"/>
    <w:rsid w:val="006A381E"/>
    <w:rsid w:val="006A384C"/>
    <w:rsid w:val="006A3D28"/>
    <w:rsid w:val="006A60EE"/>
    <w:rsid w:val="006A68D1"/>
    <w:rsid w:val="006A69CB"/>
    <w:rsid w:val="006A741E"/>
    <w:rsid w:val="006B0408"/>
    <w:rsid w:val="006B117F"/>
    <w:rsid w:val="006B17C7"/>
    <w:rsid w:val="006B1823"/>
    <w:rsid w:val="006B190F"/>
    <w:rsid w:val="006B286A"/>
    <w:rsid w:val="006B36BE"/>
    <w:rsid w:val="006B45FE"/>
    <w:rsid w:val="006B4A14"/>
    <w:rsid w:val="006B4CED"/>
    <w:rsid w:val="006B5079"/>
    <w:rsid w:val="006B511E"/>
    <w:rsid w:val="006B5643"/>
    <w:rsid w:val="006B5651"/>
    <w:rsid w:val="006B5C7F"/>
    <w:rsid w:val="006B5E90"/>
    <w:rsid w:val="006B6A6F"/>
    <w:rsid w:val="006B76E9"/>
    <w:rsid w:val="006B772C"/>
    <w:rsid w:val="006C028F"/>
    <w:rsid w:val="006C1639"/>
    <w:rsid w:val="006C1693"/>
    <w:rsid w:val="006C16F4"/>
    <w:rsid w:val="006C287F"/>
    <w:rsid w:val="006C44D4"/>
    <w:rsid w:val="006C520D"/>
    <w:rsid w:val="006C56E8"/>
    <w:rsid w:val="006C5FC0"/>
    <w:rsid w:val="006C6F24"/>
    <w:rsid w:val="006C7559"/>
    <w:rsid w:val="006C778A"/>
    <w:rsid w:val="006D08FE"/>
    <w:rsid w:val="006D1319"/>
    <w:rsid w:val="006D147C"/>
    <w:rsid w:val="006D2896"/>
    <w:rsid w:val="006D2B30"/>
    <w:rsid w:val="006D2DED"/>
    <w:rsid w:val="006D35DB"/>
    <w:rsid w:val="006D3795"/>
    <w:rsid w:val="006D51BE"/>
    <w:rsid w:val="006D6B2B"/>
    <w:rsid w:val="006D6EA3"/>
    <w:rsid w:val="006D7ABD"/>
    <w:rsid w:val="006E0FAB"/>
    <w:rsid w:val="006E1493"/>
    <w:rsid w:val="006E2036"/>
    <w:rsid w:val="006E2399"/>
    <w:rsid w:val="006E2401"/>
    <w:rsid w:val="006E3E8F"/>
    <w:rsid w:val="006E40B9"/>
    <w:rsid w:val="006E602C"/>
    <w:rsid w:val="006E6D63"/>
    <w:rsid w:val="006F04BD"/>
    <w:rsid w:val="006F072B"/>
    <w:rsid w:val="006F1DED"/>
    <w:rsid w:val="006F2759"/>
    <w:rsid w:val="006F2D33"/>
    <w:rsid w:val="006F2D7A"/>
    <w:rsid w:val="006F4220"/>
    <w:rsid w:val="006F5043"/>
    <w:rsid w:val="006F59DF"/>
    <w:rsid w:val="006F65EA"/>
    <w:rsid w:val="006F7104"/>
    <w:rsid w:val="006F7D11"/>
    <w:rsid w:val="00700382"/>
    <w:rsid w:val="00701020"/>
    <w:rsid w:val="007011CA"/>
    <w:rsid w:val="00701265"/>
    <w:rsid w:val="007018E0"/>
    <w:rsid w:val="00701AFC"/>
    <w:rsid w:val="007039E6"/>
    <w:rsid w:val="00703CB5"/>
    <w:rsid w:val="00703CE8"/>
    <w:rsid w:val="00704737"/>
    <w:rsid w:val="00704AB8"/>
    <w:rsid w:val="00704C1B"/>
    <w:rsid w:val="007059EA"/>
    <w:rsid w:val="00705D34"/>
    <w:rsid w:val="0070638A"/>
    <w:rsid w:val="007066EA"/>
    <w:rsid w:val="0071015D"/>
    <w:rsid w:val="00710906"/>
    <w:rsid w:val="007113ED"/>
    <w:rsid w:val="00712157"/>
    <w:rsid w:val="00712433"/>
    <w:rsid w:val="007124FB"/>
    <w:rsid w:val="00712E01"/>
    <w:rsid w:val="0071398B"/>
    <w:rsid w:val="00713A67"/>
    <w:rsid w:val="00713AB4"/>
    <w:rsid w:val="00713DE3"/>
    <w:rsid w:val="00715639"/>
    <w:rsid w:val="0071564C"/>
    <w:rsid w:val="00716E33"/>
    <w:rsid w:val="00717478"/>
    <w:rsid w:val="007200F0"/>
    <w:rsid w:val="007209A3"/>
    <w:rsid w:val="007212E5"/>
    <w:rsid w:val="007215EB"/>
    <w:rsid w:val="00722328"/>
    <w:rsid w:val="0072483E"/>
    <w:rsid w:val="00724E16"/>
    <w:rsid w:val="00724E6E"/>
    <w:rsid w:val="007257E3"/>
    <w:rsid w:val="00725977"/>
    <w:rsid w:val="00725EC8"/>
    <w:rsid w:val="0072722D"/>
    <w:rsid w:val="007272EE"/>
    <w:rsid w:val="007272F6"/>
    <w:rsid w:val="00727575"/>
    <w:rsid w:val="00727F09"/>
    <w:rsid w:val="00730AEC"/>
    <w:rsid w:val="00730CBE"/>
    <w:rsid w:val="0073108A"/>
    <w:rsid w:val="00731937"/>
    <w:rsid w:val="00732288"/>
    <w:rsid w:val="00732384"/>
    <w:rsid w:val="00732488"/>
    <w:rsid w:val="00732AD8"/>
    <w:rsid w:val="00732B82"/>
    <w:rsid w:val="0073498E"/>
    <w:rsid w:val="00734E3B"/>
    <w:rsid w:val="0073663C"/>
    <w:rsid w:val="007377C7"/>
    <w:rsid w:val="00737F14"/>
    <w:rsid w:val="00737F83"/>
    <w:rsid w:val="00742EC9"/>
    <w:rsid w:val="00744138"/>
    <w:rsid w:val="0074435F"/>
    <w:rsid w:val="00744814"/>
    <w:rsid w:val="0074508D"/>
    <w:rsid w:val="00745468"/>
    <w:rsid w:val="00745894"/>
    <w:rsid w:val="007475B7"/>
    <w:rsid w:val="00747643"/>
    <w:rsid w:val="007477CD"/>
    <w:rsid w:val="007503B5"/>
    <w:rsid w:val="007503C3"/>
    <w:rsid w:val="0075076B"/>
    <w:rsid w:val="00750C9B"/>
    <w:rsid w:val="007510EB"/>
    <w:rsid w:val="00751274"/>
    <w:rsid w:val="00751412"/>
    <w:rsid w:val="00751956"/>
    <w:rsid w:val="007519A9"/>
    <w:rsid w:val="00751EFE"/>
    <w:rsid w:val="007528DF"/>
    <w:rsid w:val="00753CBF"/>
    <w:rsid w:val="00753E3C"/>
    <w:rsid w:val="00755327"/>
    <w:rsid w:val="0075649A"/>
    <w:rsid w:val="00756864"/>
    <w:rsid w:val="00757240"/>
    <w:rsid w:val="00760C03"/>
    <w:rsid w:val="00760D0A"/>
    <w:rsid w:val="0076106D"/>
    <w:rsid w:val="00762184"/>
    <w:rsid w:val="00762550"/>
    <w:rsid w:val="00762A4F"/>
    <w:rsid w:val="007635D1"/>
    <w:rsid w:val="00764D97"/>
    <w:rsid w:val="00764F3E"/>
    <w:rsid w:val="00765219"/>
    <w:rsid w:val="007661B9"/>
    <w:rsid w:val="007663EC"/>
    <w:rsid w:val="00766D74"/>
    <w:rsid w:val="007706BC"/>
    <w:rsid w:val="00770C42"/>
    <w:rsid w:val="00770D3F"/>
    <w:rsid w:val="0077107F"/>
    <w:rsid w:val="00771BA7"/>
    <w:rsid w:val="00772DF7"/>
    <w:rsid w:val="00772F18"/>
    <w:rsid w:val="0077569A"/>
    <w:rsid w:val="00775B73"/>
    <w:rsid w:val="0077612A"/>
    <w:rsid w:val="00777355"/>
    <w:rsid w:val="00780810"/>
    <w:rsid w:val="00781783"/>
    <w:rsid w:val="0078194F"/>
    <w:rsid w:val="00781974"/>
    <w:rsid w:val="00781B63"/>
    <w:rsid w:val="007820D3"/>
    <w:rsid w:val="00782A2E"/>
    <w:rsid w:val="00782B12"/>
    <w:rsid w:val="00782D7D"/>
    <w:rsid w:val="00782E31"/>
    <w:rsid w:val="0078353D"/>
    <w:rsid w:val="007837DE"/>
    <w:rsid w:val="007837E1"/>
    <w:rsid w:val="00783FF2"/>
    <w:rsid w:val="00784C03"/>
    <w:rsid w:val="0078501A"/>
    <w:rsid w:val="00786A3A"/>
    <w:rsid w:val="007870E2"/>
    <w:rsid w:val="00787561"/>
    <w:rsid w:val="00787BEB"/>
    <w:rsid w:val="00787D27"/>
    <w:rsid w:val="007907D5"/>
    <w:rsid w:val="007909A5"/>
    <w:rsid w:val="00791833"/>
    <w:rsid w:val="0079208F"/>
    <w:rsid w:val="007928DD"/>
    <w:rsid w:val="00792D28"/>
    <w:rsid w:val="00793391"/>
    <w:rsid w:val="007934ED"/>
    <w:rsid w:val="007944E0"/>
    <w:rsid w:val="007967C5"/>
    <w:rsid w:val="00796A56"/>
    <w:rsid w:val="00797622"/>
    <w:rsid w:val="007A0231"/>
    <w:rsid w:val="007A041C"/>
    <w:rsid w:val="007A2523"/>
    <w:rsid w:val="007A32BF"/>
    <w:rsid w:val="007A42F5"/>
    <w:rsid w:val="007A5338"/>
    <w:rsid w:val="007A55C4"/>
    <w:rsid w:val="007A56AC"/>
    <w:rsid w:val="007A5E7D"/>
    <w:rsid w:val="007A69E1"/>
    <w:rsid w:val="007A6A06"/>
    <w:rsid w:val="007A74BE"/>
    <w:rsid w:val="007A7571"/>
    <w:rsid w:val="007B1032"/>
    <w:rsid w:val="007B2048"/>
    <w:rsid w:val="007B47D3"/>
    <w:rsid w:val="007B6990"/>
    <w:rsid w:val="007B6C29"/>
    <w:rsid w:val="007B6F87"/>
    <w:rsid w:val="007B71B3"/>
    <w:rsid w:val="007B724E"/>
    <w:rsid w:val="007B727E"/>
    <w:rsid w:val="007C22E7"/>
    <w:rsid w:val="007C35FA"/>
    <w:rsid w:val="007C4034"/>
    <w:rsid w:val="007C42C1"/>
    <w:rsid w:val="007C5053"/>
    <w:rsid w:val="007C52F0"/>
    <w:rsid w:val="007C6D10"/>
    <w:rsid w:val="007C6FEB"/>
    <w:rsid w:val="007C71CA"/>
    <w:rsid w:val="007C7376"/>
    <w:rsid w:val="007D11CA"/>
    <w:rsid w:val="007D3B6D"/>
    <w:rsid w:val="007D3C3D"/>
    <w:rsid w:val="007D3E13"/>
    <w:rsid w:val="007D4F35"/>
    <w:rsid w:val="007D521E"/>
    <w:rsid w:val="007D57D9"/>
    <w:rsid w:val="007D5954"/>
    <w:rsid w:val="007D59C9"/>
    <w:rsid w:val="007D59F2"/>
    <w:rsid w:val="007D5D44"/>
    <w:rsid w:val="007D6B92"/>
    <w:rsid w:val="007D7BA9"/>
    <w:rsid w:val="007E06EA"/>
    <w:rsid w:val="007E07DB"/>
    <w:rsid w:val="007E0CF1"/>
    <w:rsid w:val="007E16E5"/>
    <w:rsid w:val="007E19A6"/>
    <w:rsid w:val="007E278D"/>
    <w:rsid w:val="007E2AD0"/>
    <w:rsid w:val="007E375A"/>
    <w:rsid w:val="007E3D4B"/>
    <w:rsid w:val="007E3F57"/>
    <w:rsid w:val="007E453F"/>
    <w:rsid w:val="007E4AF8"/>
    <w:rsid w:val="007E5872"/>
    <w:rsid w:val="007E59A5"/>
    <w:rsid w:val="007E694C"/>
    <w:rsid w:val="007F12FF"/>
    <w:rsid w:val="007F1526"/>
    <w:rsid w:val="007F16A2"/>
    <w:rsid w:val="007F17D1"/>
    <w:rsid w:val="007F1A74"/>
    <w:rsid w:val="007F1F99"/>
    <w:rsid w:val="007F2AD9"/>
    <w:rsid w:val="007F360E"/>
    <w:rsid w:val="007F4C8C"/>
    <w:rsid w:val="007F4FE5"/>
    <w:rsid w:val="007F62CF"/>
    <w:rsid w:val="007F6638"/>
    <w:rsid w:val="007F6922"/>
    <w:rsid w:val="007F6997"/>
    <w:rsid w:val="007F7562"/>
    <w:rsid w:val="00800286"/>
    <w:rsid w:val="008005BB"/>
    <w:rsid w:val="00800640"/>
    <w:rsid w:val="00801064"/>
    <w:rsid w:val="00801B89"/>
    <w:rsid w:val="00801DBE"/>
    <w:rsid w:val="008020BD"/>
    <w:rsid w:val="0080306D"/>
    <w:rsid w:val="00803778"/>
    <w:rsid w:val="00803CD7"/>
    <w:rsid w:val="00803FC2"/>
    <w:rsid w:val="00804003"/>
    <w:rsid w:val="00804E32"/>
    <w:rsid w:val="008050CD"/>
    <w:rsid w:val="008054BE"/>
    <w:rsid w:val="00805BCE"/>
    <w:rsid w:val="008060A1"/>
    <w:rsid w:val="00806716"/>
    <w:rsid w:val="00806B44"/>
    <w:rsid w:val="008078A9"/>
    <w:rsid w:val="00810747"/>
    <w:rsid w:val="0081135E"/>
    <w:rsid w:val="00812114"/>
    <w:rsid w:val="008122A0"/>
    <w:rsid w:val="0081324A"/>
    <w:rsid w:val="008134B5"/>
    <w:rsid w:val="00813CF7"/>
    <w:rsid w:val="00814045"/>
    <w:rsid w:val="00814349"/>
    <w:rsid w:val="008145A3"/>
    <w:rsid w:val="008145DD"/>
    <w:rsid w:val="0081508A"/>
    <w:rsid w:val="008152C1"/>
    <w:rsid w:val="00816D7E"/>
    <w:rsid w:val="008177C6"/>
    <w:rsid w:val="00817B01"/>
    <w:rsid w:val="0082050D"/>
    <w:rsid w:val="00821289"/>
    <w:rsid w:val="00821C4C"/>
    <w:rsid w:val="00821E9B"/>
    <w:rsid w:val="0082335D"/>
    <w:rsid w:val="00823B3E"/>
    <w:rsid w:val="0082411F"/>
    <w:rsid w:val="00824617"/>
    <w:rsid w:val="0082480F"/>
    <w:rsid w:val="00824B95"/>
    <w:rsid w:val="00824C66"/>
    <w:rsid w:val="00824E09"/>
    <w:rsid w:val="008263F2"/>
    <w:rsid w:val="008265EC"/>
    <w:rsid w:val="00830835"/>
    <w:rsid w:val="00830A76"/>
    <w:rsid w:val="008310EA"/>
    <w:rsid w:val="00831C65"/>
    <w:rsid w:val="00833F28"/>
    <w:rsid w:val="008343EF"/>
    <w:rsid w:val="008346EA"/>
    <w:rsid w:val="00834C64"/>
    <w:rsid w:val="00834EE1"/>
    <w:rsid w:val="00835590"/>
    <w:rsid w:val="00835C6A"/>
    <w:rsid w:val="0083615D"/>
    <w:rsid w:val="00836163"/>
    <w:rsid w:val="008369AA"/>
    <w:rsid w:val="00837F11"/>
    <w:rsid w:val="00840F2D"/>
    <w:rsid w:val="0084175D"/>
    <w:rsid w:val="00842033"/>
    <w:rsid w:val="0084248D"/>
    <w:rsid w:val="00842E01"/>
    <w:rsid w:val="0084372B"/>
    <w:rsid w:val="00844FB5"/>
    <w:rsid w:val="00845D6E"/>
    <w:rsid w:val="008468B6"/>
    <w:rsid w:val="008473E4"/>
    <w:rsid w:val="00850A95"/>
    <w:rsid w:val="00851461"/>
    <w:rsid w:val="00852497"/>
    <w:rsid w:val="0085292B"/>
    <w:rsid w:val="00852D2C"/>
    <w:rsid w:val="008534BD"/>
    <w:rsid w:val="00853F2C"/>
    <w:rsid w:val="00855061"/>
    <w:rsid w:val="00860DDF"/>
    <w:rsid w:val="008614D2"/>
    <w:rsid w:val="008616CB"/>
    <w:rsid w:val="0086172F"/>
    <w:rsid w:val="008625C9"/>
    <w:rsid w:val="0086463C"/>
    <w:rsid w:val="00864874"/>
    <w:rsid w:val="0086499C"/>
    <w:rsid w:val="00864D16"/>
    <w:rsid w:val="00864EF0"/>
    <w:rsid w:val="0086535D"/>
    <w:rsid w:val="0086593D"/>
    <w:rsid w:val="00865D0F"/>
    <w:rsid w:val="00865F27"/>
    <w:rsid w:val="008660F6"/>
    <w:rsid w:val="0086687D"/>
    <w:rsid w:val="0086785A"/>
    <w:rsid w:val="00867D73"/>
    <w:rsid w:val="00870054"/>
    <w:rsid w:val="00870214"/>
    <w:rsid w:val="008703CC"/>
    <w:rsid w:val="0087057F"/>
    <w:rsid w:val="00870A00"/>
    <w:rsid w:val="008717E0"/>
    <w:rsid w:val="008719A5"/>
    <w:rsid w:val="00873815"/>
    <w:rsid w:val="00873FA6"/>
    <w:rsid w:val="008740BF"/>
    <w:rsid w:val="00875DFB"/>
    <w:rsid w:val="00876557"/>
    <w:rsid w:val="00877FF3"/>
    <w:rsid w:val="008802B7"/>
    <w:rsid w:val="008808B7"/>
    <w:rsid w:val="00880E76"/>
    <w:rsid w:val="00881290"/>
    <w:rsid w:val="00881716"/>
    <w:rsid w:val="008819C5"/>
    <w:rsid w:val="00881B71"/>
    <w:rsid w:val="00882B8F"/>
    <w:rsid w:val="0088463F"/>
    <w:rsid w:val="00884822"/>
    <w:rsid w:val="008855B4"/>
    <w:rsid w:val="008857B7"/>
    <w:rsid w:val="00885A70"/>
    <w:rsid w:val="008862EE"/>
    <w:rsid w:val="0088791E"/>
    <w:rsid w:val="00890263"/>
    <w:rsid w:val="008908C9"/>
    <w:rsid w:val="00891BAF"/>
    <w:rsid w:val="00892153"/>
    <w:rsid w:val="00893404"/>
    <w:rsid w:val="008938DA"/>
    <w:rsid w:val="00893DC6"/>
    <w:rsid w:val="00894DB9"/>
    <w:rsid w:val="00895089"/>
    <w:rsid w:val="0089594C"/>
    <w:rsid w:val="0089732D"/>
    <w:rsid w:val="0089760C"/>
    <w:rsid w:val="00897638"/>
    <w:rsid w:val="008A0667"/>
    <w:rsid w:val="008A0727"/>
    <w:rsid w:val="008A0940"/>
    <w:rsid w:val="008A17C5"/>
    <w:rsid w:val="008A19B9"/>
    <w:rsid w:val="008A2A55"/>
    <w:rsid w:val="008A2A93"/>
    <w:rsid w:val="008A3F08"/>
    <w:rsid w:val="008A4B37"/>
    <w:rsid w:val="008A6332"/>
    <w:rsid w:val="008A67A7"/>
    <w:rsid w:val="008A68AF"/>
    <w:rsid w:val="008A6B90"/>
    <w:rsid w:val="008A6F7B"/>
    <w:rsid w:val="008A7EC1"/>
    <w:rsid w:val="008B0A37"/>
    <w:rsid w:val="008B0B21"/>
    <w:rsid w:val="008B10A3"/>
    <w:rsid w:val="008B26A7"/>
    <w:rsid w:val="008B4AF3"/>
    <w:rsid w:val="008B5E3A"/>
    <w:rsid w:val="008B6420"/>
    <w:rsid w:val="008B6856"/>
    <w:rsid w:val="008B6AB5"/>
    <w:rsid w:val="008C03B2"/>
    <w:rsid w:val="008C1377"/>
    <w:rsid w:val="008C19DB"/>
    <w:rsid w:val="008C1F19"/>
    <w:rsid w:val="008C1F4B"/>
    <w:rsid w:val="008C1F5F"/>
    <w:rsid w:val="008C2509"/>
    <w:rsid w:val="008C2659"/>
    <w:rsid w:val="008C28A9"/>
    <w:rsid w:val="008C2929"/>
    <w:rsid w:val="008C2994"/>
    <w:rsid w:val="008C29E4"/>
    <w:rsid w:val="008C2AA9"/>
    <w:rsid w:val="008C49E2"/>
    <w:rsid w:val="008C4EDA"/>
    <w:rsid w:val="008C5CAF"/>
    <w:rsid w:val="008C5DE5"/>
    <w:rsid w:val="008C677A"/>
    <w:rsid w:val="008C6D20"/>
    <w:rsid w:val="008C708A"/>
    <w:rsid w:val="008D047A"/>
    <w:rsid w:val="008D080C"/>
    <w:rsid w:val="008D0A21"/>
    <w:rsid w:val="008D0B5B"/>
    <w:rsid w:val="008D0DFB"/>
    <w:rsid w:val="008D118E"/>
    <w:rsid w:val="008D1CDD"/>
    <w:rsid w:val="008D1EF3"/>
    <w:rsid w:val="008D2A7D"/>
    <w:rsid w:val="008D2B7D"/>
    <w:rsid w:val="008D2D24"/>
    <w:rsid w:val="008D3A7C"/>
    <w:rsid w:val="008D3AD3"/>
    <w:rsid w:val="008D4652"/>
    <w:rsid w:val="008D52DA"/>
    <w:rsid w:val="008D53CB"/>
    <w:rsid w:val="008D5739"/>
    <w:rsid w:val="008D5943"/>
    <w:rsid w:val="008D5D50"/>
    <w:rsid w:val="008D69AA"/>
    <w:rsid w:val="008D6CEE"/>
    <w:rsid w:val="008E051A"/>
    <w:rsid w:val="008E0AAD"/>
    <w:rsid w:val="008E14C9"/>
    <w:rsid w:val="008E1714"/>
    <w:rsid w:val="008E1725"/>
    <w:rsid w:val="008E1A05"/>
    <w:rsid w:val="008E3869"/>
    <w:rsid w:val="008E3B77"/>
    <w:rsid w:val="008E3CC9"/>
    <w:rsid w:val="008E4978"/>
    <w:rsid w:val="008E4B5F"/>
    <w:rsid w:val="008E4BCA"/>
    <w:rsid w:val="008E5260"/>
    <w:rsid w:val="008E5BBA"/>
    <w:rsid w:val="008E64A3"/>
    <w:rsid w:val="008E6956"/>
    <w:rsid w:val="008E7E66"/>
    <w:rsid w:val="008F00F9"/>
    <w:rsid w:val="008F0B4D"/>
    <w:rsid w:val="008F143D"/>
    <w:rsid w:val="008F26B4"/>
    <w:rsid w:val="008F2B26"/>
    <w:rsid w:val="008F2EF1"/>
    <w:rsid w:val="008F37F3"/>
    <w:rsid w:val="008F50C1"/>
    <w:rsid w:val="008F61DC"/>
    <w:rsid w:val="008F6A17"/>
    <w:rsid w:val="008F7177"/>
    <w:rsid w:val="008F744E"/>
    <w:rsid w:val="009003FB"/>
    <w:rsid w:val="0090069F"/>
    <w:rsid w:val="009006D6"/>
    <w:rsid w:val="009009C7"/>
    <w:rsid w:val="00900C0C"/>
    <w:rsid w:val="00901C9A"/>
    <w:rsid w:val="009037A5"/>
    <w:rsid w:val="00903DD2"/>
    <w:rsid w:val="009047C5"/>
    <w:rsid w:val="00906254"/>
    <w:rsid w:val="00906A54"/>
    <w:rsid w:val="00906DA2"/>
    <w:rsid w:val="0091073A"/>
    <w:rsid w:val="00910879"/>
    <w:rsid w:val="00911B91"/>
    <w:rsid w:val="009123A3"/>
    <w:rsid w:val="00912521"/>
    <w:rsid w:val="009128A3"/>
    <w:rsid w:val="00915F92"/>
    <w:rsid w:val="00917DF6"/>
    <w:rsid w:val="00920056"/>
    <w:rsid w:val="0092015E"/>
    <w:rsid w:val="009207FE"/>
    <w:rsid w:val="009208AF"/>
    <w:rsid w:val="00921438"/>
    <w:rsid w:val="00922885"/>
    <w:rsid w:val="00922D83"/>
    <w:rsid w:val="009232A6"/>
    <w:rsid w:val="009249A3"/>
    <w:rsid w:val="00925104"/>
    <w:rsid w:val="009255B0"/>
    <w:rsid w:val="0092562A"/>
    <w:rsid w:val="0092611A"/>
    <w:rsid w:val="00927FFB"/>
    <w:rsid w:val="00930045"/>
    <w:rsid w:val="00930BE0"/>
    <w:rsid w:val="00931B7E"/>
    <w:rsid w:val="0093292E"/>
    <w:rsid w:val="009337AC"/>
    <w:rsid w:val="009356DE"/>
    <w:rsid w:val="00935A3E"/>
    <w:rsid w:val="00936AC0"/>
    <w:rsid w:val="0093767A"/>
    <w:rsid w:val="00940A90"/>
    <w:rsid w:val="00941561"/>
    <w:rsid w:val="00942134"/>
    <w:rsid w:val="00942692"/>
    <w:rsid w:val="009435EC"/>
    <w:rsid w:val="0094393D"/>
    <w:rsid w:val="00943B5E"/>
    <w:rsid w:val="00943D1A"/>
    <w:rsid w:val="009445B6"/>
    <w:rsid w:val="009446B4"/>
    <w:rsid w:val="00944869"/>
    <w:rsid w:val="00944C09"/>
    <w:rsid w:val="00945CD2"/>
    <w:rsid w:val="00945EB7"/>
    <w:rsid w:val="0094658C"/>
    <w:rsid w:val="0094698A"/>
    <w:rsid w:val="00950016"/>
    <w:rsid w:val="009507FC"/>
    <w:rsid w:val="00952061"/>
    <w:rsid w:val="0095276B"/>
    <w:rsid w:val="00952E11"/>
    <w:rsid w:val="00953333"/>
    <w:rsid w:val="00953A35"/>
    <w:rsid w:val="00954047"/>
    <w:rsid w:val="009540A6"/>
    <w:rsid w:val="00954A17"/>
    <w:rsid w:val="00954F14"/>
    <w:rsid w:val="00955D69"/>
    <w:rsid w:val="009565FD"/>
    <w:rsid w:val="00957582"/>
    <w:rsid w:val="00957E5D"/>
    <w:rsid w:val="00960535"/>
    <w:rsid w:val="00961B2E"/>
    <w:rsid w:val="00961EB2"/>
    <w:rsid w:val="009620C5"/>
    <w:rsid w:val="009637D8"/>
    <w:rsid w:val="0096434D"/>
    <w:rsid w:val="0096446E"/>
    <w:rsid w:val="00964840"/>
    <w:rsid w:val="00964BBF"/>
    <w:rsid w:val="00965BB8"/>
    <w:rsid w:val="00965DE7"/>
    <w:rsid w:val="00965F68"/>
    <w:rsid w:val="00966387"/>
    <w:rsid w:val="0096705F"/>
    <w:rsid w:val="00967196"/>
    <w:rsid w:val="00967367"/>
    <w:rsid w:val="00967408"/>
    <w:rsid w:val="0096767B"/>
    <w:rsid w:val="00967F08"/>
    <w:rsid w:val="00970009"/>
    <w:rsid w:val="00970331"/>
    <w:rsid w:val="0097097C"/>
    <w:rsid w:val="0097101B"/>
    <w:rsid w:val="00971624"/>
    <w:rsid w:val="0097248E"/>
    <w:rsid w:val="00973EB7"/>
    <w:rsid w:val="009745BC"/>
    <w:rsid w:val="00975AA5"/>
    <w:rsid w:val="00975F57"/>
    <w:rsid w:val="0097651A"/>
    <w:rsid w:val="00976E9F"/>
    <w:rsid w:val="009773C9"/>
    <w:rsid w:val="00977AB7"/>
    <w:rsid w:val="00980559"/>
    <w:rsid w:val="00980B72"/>
    <w:rsid w:val="00980E4E"/>
    <w:rsid w:val="00983248"/>
    <w:rsid w:val="009832DC"/>
    <w:rsid w:val="00983A78"/>
    <w:rsid w:val="009840C0"/>
    <w:rsid w:val="00984322"/>
    <w:rsid w:val="009848DE"/>
    <w:rsid w:val="00986098"/>
    <w:rsid w:val="00986865"/>
    <w:rsid w:val="00986BE0"/>
    <w:rsid w:val="00990BD9"/>
    <w:rsid w:val="00990D01"/>
    <w:rsid w:val="00990EE2"/>
    <w:rsid w:val="009932B8"/>
    <w:rsid w:val="00993EF6"/>
    <w:rsid w:val="0099409A"/>
    <w:rsid w:val="00994E74"/>
    <w:rsid w:val="009958E9"/>
    <w:rsid w:val="009966AB"/>
    <w:rsid w:val="00997649"/>
    <w:rsid w:val="00997D11"/>
    <w:rsid w:val="009A083C"/>
    <w:rsid w:val="009A1EFC"/>
    <w:rsid w:val="009A1F4F"/>
    <w:rsid w:val="009A2C7E"/>
    <w:rsid w:val="009A370B"/>
    <w:rsid w:val="009A4954"/>
    <w:rsid w:val="009A5206"/>
    <w:rsid w:val="009A5A0E"/>
    <w:rsid w:val="009A670D"/>
    <w:rsid w:val="009A749C"/>
    <w:rsid w:val="009A757C"/>
    <w:rsid w:val="009A7701"/>
    <w:rsid w:val="009A78D4"/>
    <w:rsid w:val="009B01B3"/>
    <w:rsid w:val="009B0FBD"/>
    <w:rsid w:val="009B1397"/>
    <w:rsid w:val="009B235C"/>
    <w:rsid w:val="009B25D0"/>
    <w:rsid w:val="009B3540"/>
    <w:rsid w:val="009B36D7"/>
    <w:rsid w:val="009B3B6E"/>
    <w:rsid w:val="009B43B2"/>
    <w:rsid w:val="009B44AB"/>
    <w:rsid w:val="009B4F1D"/>
    <w:rsid w:val="009C00D2"/>
    <w:rsid w:val="009C016A"/>
    <w:rsid w:val="009C0365"/>
    <w:rsid w:val="009C058E"/>
    <w:rsid w:val="009C0B48"/>
    <w:rsid w:val="009C1135"/>
    <w:rsid w:val="009C1A34"/>
    <w:rsid w:val="009C27D3"/>
    <w:rsid w:val="009C33A3"/>
    <w:rsid w:val="009C4726"/>
    <w:rsid w:val="009C4885"/>
    <w:rsid w:val="009C55BF"/>
    <w:rsid w:val="009C56AF"/>
    <w:rsid w:val="009C5F07"/>
    <w:rsid w:val="009C6B5A"/>
    <w:rsid w:val="009C76BC"/>
    <w:rsid w:val="009C79FA"/>
    <w:rsid w:val="009C7BFA"/>
    <w:rsid w:val="009C7F72"/>
    <w:rsid w:val="009D01DD"/>
    <w:rsid w:val="009D11B3"/>
    <w:rsid w:val="009D1504"/>
    <w:rsid w:val="009D1D76"/>
    <w:rsid w:val="009D21FE"/>
    <w:rsid w:val="009D246B"/>
    <w:rsid w:val="009D2A7E"/>
    <w:rsid w:val="009D3186"/>
    <w:rsid w:val="009D35B8"/>
    <w:rsid w:val="009D3624"/>
    <w:rsid w:val="009D3777"/>
    <w:rsid w:val="009D4706"/>
    <w:rsid w:val="009D5092"/>
    <w:rsid w:val="009D6897"/>
    <w:rsid w:val="009D7596"/>
    <w:rsid w:val="009E0460"/>
    <w:rsid w:val="009E117D"/>
    <w:rsid w:val="009E18DF"/>
    <w:rsid w:val="009E1A8E"/>
    <w:rsid w:val="009E209B"/>
    <w:rsid w:val="009E248A"/>
    <w:rsid w:val="009E27A5"/>
    <w:rsid w:val="009E2D0B"/>
    <w:rsid w:val="009E2EA2"/>
    <w:rsid w:val="009E3419"/>
    <w:rsid w:val="009E4246"/>
    <w:rsid w:val="009E4719"/>
    <w:rsid w:val="009E51E9"/>
    <w:rsid w:val="009E560A"/>
    <w:rsid w:val="009E6553"/>
    <w:rsid w:val="009E6F06"/>
    <w:rsid w:val="009E7348"/>
    <w:rsid w:val="009E7836"/>
    <w:rsid w:val="009F2537"/>
    <w:rsid w:val="009F2745"/>
    <w:rsid w:val="009F28C7"/>
    <w:rsid w:val="009F595F"/>
    <w:rsid w:val="009F59C0"/>
    <w:rsid w:val="009F5E66"/>
    <w:rsid w:val="009F6066"/>
    <w:rsid w:val="009F6C56"/>
    <w:rsid w:val="009F7F58"/>
    <w:rsid w:val="00A010A7"/>
    <w:rsid w:val="00A02278"/>
    <w:rsid w:val="00A037E2"/>
    <w:rsid w:val="00A048EE"/>
    <w:rsid w:val="00A05B0B"/>
    <w:rsid w:val="00A0688C"/>
    <w:rsid w:val="00A0795D"/>
    <w:rsid w:val="00A07CED"/>
    <w:rsid w:val="00A10499"/>
    <w:rsid w:val="00A1123E"/>
    <w:rsid w:val="00A12858"/>
    <w:rsid w:val="00A12E40"/>
    <w:rsid w:val="00A13BA1"/>
    <w:rsid w:val="00A1473C"/>
    <w:rsid w:val="00A15856"/>
    <w:rsid w:val="00A158EC"/>
    <w:rsid w:val="00A163FA"/>
    <w:rsid w:val="00A175E6"/>
    <w:rsid w:val="00A17BFE"/>
    <w:rsid w:val="00A20541"/>
    <w:rsid w:val="00A205F1"/>
    <w:rsid w:val="00A20CA7"/>
    <w:rsid w:val="00A20D7A"/>
    <w:rsid w:val="00A215CB"/>
    <w:rsid w:val="00A218A1"/>
    <w:rsid w:val="00A22329"/>
    <w:rsid w:val="00A228C8"/>
    <w:rsid w:val="00A22B60"/>
    <w:rsid w:val="00A237D9"/>
    <w:rsid w:val="00A23A5B"/>
    <w:rsid w:val="00A246B1"/>
    <w:rsid w:val="00A24950"/>
    <w:rsid w:val="00A2514B"/>
    <w:rsid w:val="00A2568B"/>
    <w:rsid w:val="00A26585"/>
    <w:rsid w:val="00A26639"/>
    <w:rsid w:val="00A27277"/>
    <w:rsid w:val="00A272A7"/>
    <w:rsid w:val="00A30443"/>
    <w:rsid w:val="00A30C5B"/>
    <w:rsid w:val="00A30EE8"/>
    <w:rsid w:val="00A32440"/>
    <w:rsid w:val="00A32C09"/>
    <w:rsid w:val="00A32CF8"/>
    <w:rsid w:val="00A33520"/>
    <w:rsid w:val="00A337AC"/>
    <w:rsid w:val="00A339E2"/>
    <w:rsid w:val="00A35D0A"/>
    <w:rsid w:val="00A3606E"/>
    <w:rsid w:val="00A368AC"/>
    <w:rsid w:val="00A40338"/>
    <w:rsid w:val="00A41381"/>
    <w:rsid w:val="00A416A6"/>
    <w:rsid w:val="00A41D55"/>
    <w:rsid w:val="00A41ED4"/>
    <w:rsid w:val="00A4217E"/>
    <w:rsid w:val="00A4226F"/>
    <w:rsid w:val="00A42718"/>
    <w:rsid w:val="00A42A19"/>
    <w:rsid w:val="00A42B29"/>
    <w:rsid w:val="00A4345A"/>
    <w:rsid w:val="00A44D1D"/>
    <w:rsid w:val="00A451A2"/>
    <w:rsid w:val="00A45760"/>
    <w:rsid w:val="00A457D1"/>
    <w:rsid w:val="00A46F6D"/>
    <w:rsid w:val="00A46FFA"/>
    <w:rsid w:val="00A475D6"/>
    <w:rsid w:val="00A47B05"/>
    <w:rsid w:val="00A516B8"/>
    <w:rsid w:val="00A51A13"/>
    <w:rsid w:val="00A51E51"/>
    <w:rsid w:val="00A539DC"/>
    <w:rsid w:val="00A547A9"/>
    <w:rsid w:val="00A547B3"/>
    <w:rsid w:val="00A55284"/>
    <w:rsid w:val="00A55AF8"/>
    <w:rsid w:val="00A565D6"/>
    <w:rsid w:val="00A5710E"/>
    <w:rsid w:val="00A60E14"/>
    <w:rsid w:val="00A61A2B"/>
    <w:rsid w:val="00A6211F"/>
    <w:rsid w:val="00A62989"/>
    <w:rsid w:val="00A63094"/>
    <w:rsid w:val="00A6309D"/>
    <w:rsid w:val="00A6462D"/>
    <w:rsid w:val="00A647E4"/>
    <w:rsid w:val="00A648A0"/>
    <w:rsid w:val="00A64A53"/>
    <w:rsid w:val="00A6554F"/>
    <w:rsid w:val="00A65B67"/>
    <w:rsid w:val="00A65C5B"/>
    <w:rsid w:val="00A663F7"/>
    <w:rsid w:val="00A6682D"/>
    <w:rsid w:val="00A668FE"/>
    <w:rsid w:val="00A677D1"/>
    <w:rsid w:val="00A67A2C"/>
    <w:rsid w:val="00A67E3F"/>
    <w:rsid w:val="00A705C4"/>
    <w:rsid w:val="00A70AE6"/>
    <w:rsid w:val="00A71D1D"/>
    <w:rsid w:val="00A7257B"/>
    <w:rsid w:val="00A7299B"/>
    <w:rsid w:val="00A73A1B"/>
    <w:rsid w:val="00A73D14"/>
    <w:rsid w:val="00A73EE9"/>
    <w:rsid w:val="00A73F7E"/>
    <w:rsid w:val="00A7514B"/>
    <w:rsid w:val="00A7585A"/>
    <w:rsid w:val="00A75E13"/>
    <w:rsid w:val="00A76776"/>
    <w:rsid w:val="00A769E9"/>
    <w:rsid w:val="00A770F0"/>
    <w:rsid w:val="00A77F7D"/>
    <w:rsid w:val="00A810F8"/>
    <w:rsid w:val="00A81C51"/>
    <w:rsid w:val="00A82373"/>
    <w:rsid w:val="00A82495"/>
    <w:rsid w:val="00A82567"/>
    <w:rsid w:val="00A82DC0"/>
    <w:rsid w:val="00A82DCA"/>
    <w:rsid w:val="00A85731"/>
    <w:rsid w:val="00A8675E"/>
    <w:rsid w:val="00A8679F"/>
    <w:rsid w:val="00A87130"/>
    <w:rsid w:val="00A90568"/>
    <w:rsid w:val="00A91763"/>
    <w:rsid w:val="00A931A7"/>
    <w:rsid w:val="00A934FE"/>
    <w:rsid w:val="00A935BE"/>
    <w:rsid w:val="00A94064"/>
    <w:rsid w:val="00A94789"/>
    <w:rsid w:val="00A9506C"/>
    <w:rsid w:val="00A959C5"/>
    <w:rsid w:val="00A95E87"/>
    <w:rsid w:val="00A95F86"/>
    <w:rsid w:val="00A9679B"/>
    <w:rsid w:val="00A96887"/>
    <w:rsid w:val="00A978FE"/>
    <w:rsid w:val="00A97EF3"/>
    <w:rsid w:val="00AA158C"/>
    <w:rsid w:val="00AA1F6F"/>
    <w:rsid w:val="00AA2106"/>
    <w:rsid w:val="00AA252D"/>
    <w:rsid w:val="00AA2855"/>
    <w:rsid w:val="00AA318A"/>
    <w:rsid w:val="00AA4E46"/>
    <w:rsid w:val="00AA60F4"/>
    <w:rsid w:val="00AA670E"/>
    <w:rsid w:val="00AA676A"/>
    <w:rsid w:val="00AA7BCB"/>
    <w:rsid w:val="00AB1030"/>
    <w:rsid w:val="00AB1803"/>
    <w:rsid w:val="00AB2548"/>
    <w:rsid w:val="00AB3526"/>
    <w:rsid w:val="00AB36A1"/>
    <w:rsid w:val="00AB39C8"/>
    <w:rsid w:val="00AB40B1"/>
    <w:rsid w:val="00AB42FD"/>
    <w:rsid w:val="00AB43BA"/>
    <w:rsid w:val="00AB4764"/>
    <w:rsid w:val="00AC001C"/>
    <w:rsid w:val="00AC02FA"/>
    <w:rsid w:val="00AC2338"/>
    <w:rsid w:val="00AC277F"/>
    <w:rsid w:val="00AC2DE5"/>
    <w:rsid w:val="00AC5D35"/>
    <w:rsid w:val="00AC6A9B"/>
    <w:rsid w:val="00AC6D01"/>
    <w:rsid w:val="00AC6ED0"/>
    <w:rsid w:val="00AC7924"/>
    <w:rsid w:val="00AC79FC"/>
    <w:rsid w:val="00AD08B1"/>
    <w:rsid w:val="00AD1B5F"/>
    <w:rsid w:val="00AD211A"/>
    <w:rsid w:val="00AD28F7"/>
    <w:rsid w:val="00AD2CD6"/>
    <w:rsid w:val="00AD2D7F"/>
    <w:rsid w:val="00AD3168"/>
    <w:rsid w:val="00AD37D3"/>
    <w:rsid w:val="00AD3CD9"/>
    <w:rsid w:val="00AD5316"/>
    <w:rsid w:val="00AD57A8"/>
    <w:rsid w:val="00AD5953"/>
    <w:rsid w:val="00AD5CEB"/>
    <w:rsid w:val="00AD7026"/>
    <w:rsid w:val="00AD71C2"/>
    <w:rsid w:val="00AD7B8D"/>
    <w:rsid w:val="00AD7F4C"/>
    <w:rsid w:val="00AE0775"/>
    <w:rsid w:val="00AE1029"/>
    <w:rsid w:val="00AE10A7"/>
    <w:rsid w:val="00AE1158"/>
    <w:rsid w:val="00AE11FA"/>
    <w:rsid w:val="00AE14B1"/>
    <w:rsid w:val="00AE1838"/>
    <w:rsid w:val="00AE1DAD"/>
    <w:rsid w:val="00AE3A8B"/>
    <w:rsid w:val="00AE4ABE"/>
    <w:rsid w:val="00AE4D23"/>
    <w:rsid w:val="00AE5749"/>
    <w:rsid w:val="00AE599C"/>
    <w:rsid w:val="00AE5BE7"/>
    <w:rsid w:val="00AE6FD4"/>
    <w:rsid w:val="00AE6FDF"/>
    <w:rsid w:val="00AE752E"/>
    <w:rsid w:val="00AF12F7"/>
    <w:rsid w:val="00AF1A3C"/>
    <w:rsid w:val="00AF1E3A"/>
    <w:rsid w:val="00AF1F43"/>
    <w:rsid w:val="00AF21E4"/>
    <w:rsid w:val="00AF28CA"/>
    <w:rsid w:val="00AF2B99"/>
    <w:rsid w:val="00AF3062"/>
    <w:rsid w:val="00AF3D25"/>
    <w:rsid w:val="00AF513A"/>
    <w:rsid w:val="00AF5F7A"/>
    <w:rsid w:val="00AF61A8"/>
    <w:rsid w:val="00AF6A4A"/>
    <w:rsid w:val="00B004A4"/>
    <w:rsid w:val="00B008AC"/>
    <w:rsid w:val="00B01269"/>
    <w:rsid w:val="00B0144E"/>
    <w:rsid w:val="00B01604"/>
    <w:rsid w:val="00B01F5A"/>
    <w:rsid w:val="00B02EB6"/>
    <w:rsid w:val="00B035F3"/>
    <w:rsid w:val="00B03701"/>
    <w:rsid w:val="00B0441A"/>
    <w:rsid w:val="00B04DFB"/>
    <w:rsid w:val="00B04FB8"/>
    <w:rsid w:val="00B06077"/>
    <w:rsid w:val="00B0680D"/>
    <w:rsid w:val="00B12E28"/>
    <w:rsid w:val="00B142BF"/>
    <w:rsid w:val="00B145EA"/>
    <w:rsid w:val="00B149D2"/>
    <w:rsid w:val="00B14CEB"/>
    <w:rsid w:val="00B15554"/>
    <w:rsid w:val="00B15FB4"/>
    <w:rsid w:val="00B16C3E"/>
    <w:rsid w:val="00B16D88"/>
    <w:rsid w:val="00B16E6E"/>
    <w:rsid w:val="00B16F85"/>
    <w:rsid w:val="00B17ACC"/>
    <w:rsid w:val="00B202A1"/>
    <w:rsid w:val="00B2135B"/>
    <w:rsid w:val="00B213F2"/>
    <w:rsid w:val="00B21904"/>
    <w:rsid w:val="00B21935"/>
    <w:rsid w:val="00B233B9"/>
    <w:rsid w:val="00B23C36"/>
    <w:rsid w:val="00B26540"/>
    <w:rsid w:val="00B272A4"/>
    <w:rsid w:val="00B277A1"/>
    <w:rsid w:val="00B27D93"/>
    <w:rsid w:val="00B30C90"/>
    <w:rsid w:val="00B31095"/>
    <w:rsid w:val="00B316A1"/>
    <w:rsid w:val="00B349FD"/>
    <w:rsid w:val="00B34F72"/>
    <w:rsid w:val="00B35B06"/>
    <w:rsid w:val="00B35D9C"/>
    <w:rsid w:val="00B36966"/>
    <w:rsid w:val="00B36DBD"/>
    <w:rsid w:val="00B3776C"/>
    <w:rsid w:val="00B37969"/>
    <w:rsid w:val="00B37AD8"/>
    <w:rsid w:val="00B37DC3"/>
    <w:rsid w:val="00B40FEB"/>
    <w:rsid w:val="00B4244E"/>
    <w:rsid w:val="00B4269D"/>
    <w:rsid w:val="00B4280D"/>
    <w:rsid w:val="00B42864"/>
    <w:rsid w:val="00B42B0A"/>
    <w:rsid w:val="00B43659"/>
    <w:rsid w:val="00B4398B"/>
    <w:rsid w:val="00B439BF"/>
    <w:rsid w:val="00B43FF7"/>
    <w:rsid w:val="00B443E6"/>
    <w:rsid w:val="00B44C8E"/>
    <w:rsid w:val="00B453B0"/>
    <w:rsid w:val="00B45B09"/>
    <w:rsid w:val="00B4601B"/>
    <w:rsid w:val="00B46B72"/>
    <w:rsid w:val="00B47B41"/>
    <w:rsid w:val="00B50637"/>
    <w:rsid w:val="00B5095F"/>
    <w:rsid w:val="00B50B42"/>
    <w:rsid w:val="00B50E2F"/>
    <w:rsid w:val="00B5111B"/>
    <w:rsid w:val="00B516BB"/>
    <w:rsid w:val="00B51DEB"/>
    <w:rsid w:val="00B51E7B"/>
    <w:rsid w:val="00B5248D"/>
    <w:rsid w:val="00B52A44"/>
    <w:rsid w:val="00B531EB"/>
    <w:rsid w:val="00B5358F"/>
    <w:rsid w:val="00B542E1"/>
    <w:rsid w:val="00B543C4"/>
    <w:rsid w:val="00B54DEE"/>
    <w:rsid w:val="00B57398"/>
    <w:rsid w:val="00B5780B"/>
    <w:rsid w:val="00B57880"/>
    <w:rsid w:val="00B60235"/>
    <w:rsid w:val="00B60BD5"/>
    <w:rsid w:val="00B60C9E"/>
    <w:rsid w:val="00B612D2"/>
    <w:rsid w:val="00B617FF"/>
    <w:rsid w:val="00B620F0"/>
    <w:rsid w:val="00B627C7"/>
    <w:rsid w:val="00B63EF2"/>
    <w:rsid w:val="00B64019"/>
    <w:rsid w:val="00B6457E"/>
    <w:rsid w:val="00B64F42"/>
    <w:rsid w:val="00B655E6"/>
    <w:rsid w:val="00B65B86"/>
    <w:rsid w:val="00B66B79"/>
    <w:rsid w:val="00B671E4"/>
    <w:rsid w:val="00B673B3"/>
    <w:rsid w:val="00B67462"/>
    <w:rsid w:val="00B6778A"/>
    <w:rsid w:val="00B70171"/>
    <w:rsid w:val="00B70B15"/>
    <w:rsid w:val="00B70EB2"/>
    <w:rsid w:val="00B7115F"/>
    <w:rsid w:val="00B713CB"/>
    <w:rsid w:val="00B71976"/>
    <w:rsid w:val="00B71E54"/>
    <w:rsid w:val="00B7215D"/>
    <w:rsid w:val="00B7299C"/>
    <w:rsid w:val="00B7310D"/>
    <w:rsid w:val="00B737F6"/>
    <w:rsid w:val="00B745F1"/>
    <w:rsid w:val="00B7467A"/>
    <w:rsid w:val="00B747CF"/>
    <w:rsid w:val="00B75205"/>
    <w:rsid w:val="00B75540"/>
    <w:rsid w:val="00B75970"/>
    <w:rsid w:val="00B75F83"/>
    <w:rsid w:val="00B77292"/>
    <w:rsid w:val="00B77C96"/>
    <w:rsid w:val="00B80183"/>
    <w:rsid w:val="00B803CA"/>
    <w:rsid w:val="00B80A33"/>
    <w:rsid w:val="00B80AF0"/>
    <w:rsid w:val="00B8101E"/>
    <w:rsid w:val="00B81C45"/>
    <w:rsid w:val="00B81FA3"/>
    <w:rsid w:val="00B8324D"/>
    <w:rsid w:val="00B8373D"/>
    <w:rsid w:val="00B84C25"/>
    <w:rsid w:val="00B84D6E"/>
    <w:rsid w:val="00B84E3A"/>
    <w:rsid w:val="00B84E84"/>
    <w:rsid w:val="00B84FDB"/>
    <w:rsid w:val="00B85B59"/>
    <w:rsid w:val="00B85D6C"/>
    <w:rsid w:val="00B8650A"/>
    <w:rsid w:val="00B86A5D"/>
    <w:rsid w:val="00B876E2"/>
    <w:rsid w:val="00B91320"/>
    <w:rsid w:val="00B91935"/>
    <w:rsid w:val="00B92352"/>
    <w:rsid w:val="00B934B5"/>
    <w:rsid w:val="00B93B66"/>
    <w:rsid w:val="00B93DAB"/>
    <w:rsid w:val="00B93F78"/>
    <w:rsid w:val="00B9428F"/>
    <w:rsid w:val="00B943E8"/>
    <w:rsid w:val="00B949C5"/>
    <w:rsid w:val="00B95566"/>
    <w:rsid w:val="00B9614D"/>
    <w:rsid w:val="00B96973"/>
    <w:rsid w:val="00B97408"/>
    <w:rsid w:val="00BA0443"/>
    <w:rsid w:val="00BA0796"/>
    <w:rsid w:val="00BA1296"/>
    <w:rsid w:val="00BA1355"/>
    <w:rsid w:val="00BA17D0"/>
    <w:rsid w:val="00BA2006"/>
    <w:rsid w:val="00BA2314"/>
    <w:rsid w:val="00BA2400"/>
    <w:rsid w:val="00BA2645"/>
    <w:rsid w:val="00BA2D34"/>
    <w:rsid w:val="00BA4ED5"/>
    <w:rsid w:val="00BA64BE"/>
    <w:rsid w:val="00BA6D5C"/>
    <w:rsid w:val="00BA7064"/>
    <w:rsid w:val="00BA77B4"/>
    <w:rsid w:val="00BB01B6"/>
    <w:rsid w:val="00BB0488"/>
    <w:rsid w:val="00BB1465"/>
    <w:rsid w:val="00BB197E"/>
    <w:rsid w:val="00BB1B2F"/>
    <w:rsid w:val="00BB2256"/>
    <w:rsid w:val="00BB2CE6"/>
    <w:rsid w:val="00BB3A2F"/>
    <w:rsid w:val="00BB4109"/>
    <w:rsid w:val="00BB63D1"/>
    <w:rsid w:val="00BB6F1A"/>
    <w:rsid w:val="00BB75D1"/>
    <w:rsid w:val="00BB7854"/>
    <w:rsid w:val="00BB78B1"/>
    <w:rsid w:val="00BB7966"/>
    <w:rsid w:val="00BB7BFA"/>
    <w:rsid w:val="00BB7E78"/>
    <w:rsid w:val="00BC04D0"/>
    <w:rsid w:val="00BC1B43"/>
    <w:rsid w:val="00BC34BB"/>
    <w:rsid w:val="00BC3A68"/>
    <w:rsid w:val="00BC3D47"/>
    <w:rsid w:val="00BC3E08"/>
    <w:rsid w:val="00BC51E5"/>
    <w:rsid w:val="00BC5397"/>
    <w:rsid w:val="00BC53DE"/>
    <w:rsid w:val="00BC674F"/>
    <w:rsid w:val="00BC69FC"/>
    <w:rsid w:val="00BC6BCA"/>
    <w:rsid w:val="00BC6D91"/>
    <w:rsid w:val="00BC79F3"/>
    <w:rsid w:val="00BD0E6E"/>
    <w:rsid w:val="00BD165F"/>
    <w:rsid w:val="00BD17E8"/>
    <w:rsid w:val="00BD1D92"/>
    <w:rsid w:val="00BD1E9F"/>
    <w:rsid w:val="00BD3137"/>
    <w:rsid w:val="00BD35BF"/>
    <w:rsid w:val="00BD3600"/>
    <w:rsid w:val="00BD3CB8"/>
    <w:rsid w:val="00BD3DB2"/>
    <w:rsid w:val="00BD4038"/>
    <w:rsid w:val="00BD451F"/>
    <w:rsid w:val="00BD4A96"/>
    <w:rsid w:val="00BD5F55"/>
    <w:rsid w:val="00BD68DD"/>
    <w:rsid w:val="00BD76DA"/>
    <w:rsid w:val="00BD7AAF"/>
    <w:rsid w:val="00BE0D93"/>
    <w:rsid w:val="00BE101A"/>
    <w:rsid w:val="00BE174A"/>
    <w:rsid w:val="00BE2975"/>
    <w:rsid w:val="00BE2D1C"/>
    <w:rsid w:val="00BE3035"/>
    <w:rsid w:val="00BE3948"/>
    <w:rsid w:val="00BE4723"/>
    <w:rsid w:val="00BE489A"/>
    <w:rsid w:val="00BE51B1"/>
    <w:rsid w:val="00BE533A"/>
    <w:rsid w:val="00BE584B"/>
    <w:rsid w:val="00BE5933"/>
    <w:rsid w:val="00BE5E33"/>
    <w:rsid w:val="00BE68A7"/>
    <w:rsid w:val="00BE6AD2"/>
    <w:rsid w:val="00BF0BFA"/>
    <w:rsid w:val="00BF33B3"/>
    <w:rsid w:val="00BF49CA"/>
    <w:rsid w:val="00BF56F0"/>
    <w:rsid w:val="00BF5BC9"/>
    <w:rsid w:val="00BF63B2"/>
    <w:rsid w:val="00BF6B7F"/>
    <w:rsid w:val="00BF7304"/>
    <w:rsid w:val="00BF733E"/>
    <w:rsid w:val="00BF77FD"/>
    <w:rsid w:val="00BF7E14"/>
    <w:rsid w:val="00C014E9"/>
    <w:rsid w:val="00C01BCA"/>
    <w:rsid w:val="00C01DEC"/>
    <w:rsid w:val="00C02D8F"/>
    <w:rsid w:val="00C02F28"/>
    <w:rsid w:val="00C055C0"/>
    <w:rsid w:val="00C05C9F"/>
    <w:rsid w:val="00C06464"/>
    <w:rsid w:val="00C10DC7"/>
    <w:rsid w:val="00C115F3"/>
    <w:rsid w:val="00C11B2C"/>
    <w:rsid w:val="00C134A4"/>
    <w:rsid w:val="00C13E98"/>
    <w:rsid w:val="00C1481F"/>
    <w:rsid w:val="00C15C6A"/>
    <w:rsid w:val="00C15ECF"/>
    <w:rsid w:val="00C162DB"/>
    <w:rsid w:val="00C16BC8"/>
    <w:rsid w:val="00C202B0"/>
    <w:rsid w:val="00C203F6"/>
    <w:rsid w:val="00C2056C"/>
    <w:rsid w:val="00C20DFF"/>
    <w:rsid w:val="00C213EE"/>
    <w:rsid w:val="00C2398B"/>
    <w:rsid w:val="00C239AC"/>
    <w:rsid w:val="00C25EC4"/>
    <w:rsid w:val="00C260AC"/>
    <w:rsid w:val="00C263F1"/>
    <w:rsid w:val="00C26A76"/>
    <w:rsid w:val="00C27679"/>
    <w:rsid w:val="00C27872"/>
    <w:rsid w:val="00C30198"/>
    <w:rsid w:val="00C30632"/>
    <w:rsid w:val="00C30E9D"/>
    <w:rsid w:val="00C31760"/>
    <w:rsid w:val="00C322C5"/>
    <w:rsid w:val="00C32994"/>
    <w:rsid w:val="00C339C7"/>
    <w:rsid w:val="00C33F24"/>
    <w:rsid w:val="00C34819"/>
    <w:rsid w:val="00C34F2E"/>
    <w:rsid w:val="00C37DCF"/>
    <w:rsid w:val="00C37E2B"/>
    <w:rsid w:val="00C40868"/>
    <w:rsid w:val="00C41448"/>
    <w:rsid w:val="00C41E93"/>
    <w:rsid w:val="00C44908"/>
    <w:rsid w:val="00C450B6"/>
    <w:rsid w:val="00C4752A"/>
    <w:rsid w:val="00C47E51"/>
    <w:rsid w:val="00C508AC"/>
    <w:rsid w:val="00C50C02"/>
    <w:rsid w:val="00C50DE0"/>
    <w:rsid w:val="00C535A1"/>
    <w:rsid w:val="00C53E10"/>
    <w:rsid w:val="00C5482D"/>
    <w:rsid w:val="00C54AF2"/>
    <w:rsid w:val="00C55251"/>
    <w:rsid w:val="00C55432"/>
    <w:rsid w:val="00C554B5"/>
    <w:rsid w:val="00C555C0"/>
    <w:rsid w:val="00C5572F"/>
    <w:rsid w:val="00C55C65"/>
    <w:rsid w:val="00C56143"/>
    <w:rsid w:val="00C56154"/>
    <w:rsid w:val="00C56A00"/>
    <w:rsid w:val="00C56C4F"/>
    <w:rsid w:val="00C57817"/>
    <w:rsid w:val="00C57A78"/>
    <w:rsid w:val="00C60778"/>
    <w:rsid w:val="00C6084A"/>
    <w:rsid w:val="00C611EF"/>
    <w:rsid w:val="00C624EE"/>
    <w:rsid w:val="00C62C3A"/>
    <w:rsid w:val="00C631B2"/>
    <w:rsid w:val="00C635D4"/>
    <w:rsid w:val="00C63A5A"/>
    <w:rsid w:val="00C63F5C"/>
    <w:rsid w:val="00C6495C"/>
    <w:rsid w:val="00C64A4E"/>
    <w:rsid w:val="00C65F8D"/>
    <w:rsid w:val="00C66A40"/>
    <w:rsid w:val="00C66DF9"/>
    <w:rsid w:val="00C6730A"/>
    <w:rsid w:val="00C67C64"/>
    <w:rsid w:val="00C7064F"/>
    <w:rsid w:val="00C70982"/>
    <w:rsid w:val="00C70F76"/>
    <w:rsid w:val="00C71541"/>
    <w:rsid w:val="00C722B8"/>
    <w:rsid w:val="00C725CF"/>
    <w:rsid w:val="00C72CDA"/>
    <w:rsid w:val="00C7375A"/>
    <w:rsid w:val="00C737B8"/>
    <w:rsid w:val="00C73B85"/>
    <w:rsid w:val="00C74005"/>
    <w:rsid w:val="00C74225"/>
    <w:rsid w:val="00C743EE"/>
    <w:rsid w:val="00C75F48"/>
    <w:rsid w:val="00C8043D"/>
    <w:rsid w:val="00C80953"/>
    <w:rsid w:val="00C8159E"/>
    <w:rsid w:val="00C8175D"/>
    <w:rsid w:val="00C82D8F"/>
    <w:rsid w:val="00C83219"/>
    <w:rsid w:val="00C833AA"/>
    <w:rsid w:val="00C8340C"/>
    <w:rsid w:val="00C8397E"/>
    <w:rsid w:val="00C84190"/>
    <w:rsid w:val="00C84519"/>
    <w:rsid w:val="00C847FA"/>
    <w:rsid w:val="00C8647A"/>
    <w:rsid w:val="00C86516"/>
    <w:rsid w:val="00C8777C"/>
    <w:rsid w:val="00C9067B"/>
    <w:rsid w:val="00C91A42"/>
    <w:rsid w:val="00C92DA5"/>
    <w:rsid w:val="00C938E5"/>
    <w:rsid w:val="00C93F94"/>
    <w:rsid w:val="00C94844"/>
    <w:rsid w:val="00C958BC"/>
    <w:rsid w:val="00C959FD"/>
    <w:rsid w:val="00C95C35"/>
    <w:rsid w:val="00C962B4"/>
    <w:rsid w:val="00C96831"/>
    <w:rsid w:val="00C96C0F"/>
    <w:rsid w:val="00C96FF1"/>
    <w:rsid w:val="00C97149"/>
    <w:rsid w:val="00C97735"/>
    <w:rsid w:val="00CA1BF5"/>
    <w:rsid w:val="00CA1FAB"/>
    <w:rsid w:val="00CA2E68"/>
    <w:rsid w:val="00CA333A"/>
    <w:rsid w:val="00CA38B0"/>
    <w:rsid w:val="00CA46E7"/>
    <w:rsid w:val="00CA4B34"/>
    <w:rsid w:val="00CA558D"/>
    <w:rsid w:val="00CA6328"/>
    <w:rsid w:val="00CA6782"/>
    <w:rsid w:val="00CA74E0"/>
    <w:rsid w:val="00CA7AEB"/>
    <w:rsid w:val="00CA7B39"/>
    <w:rsid w:val="00CB0DE0"/>
    <w:rsid w:val="00CB12E7"/>
    <w:rsid w:val="00CB2F0A"/>
    <w:rsid w:val="00CB60B3"/>
    <w:rsid w:val="00CB6E35"/>
    <w:rsid w:val="00CB7A92"/>
    <w:rsid w:val="00CC0165"/>
    <w:rsid w:val="00CC0170"/>
    <w:rsid w:val="00CC02F2"/>
    <w:rsid w:val="00CC0F41"/>
    <w:rsid w:val="00CC1748"/>
    <w:rsid w:val="00CC2156"/>
    <w:rsid w:val="00CC2E31"/>
    <w:rsid w:val="00CC4726"/>
    <w:rsid w:val="00CC4B9E"/>
    <w:rsid w:val="00CC545D"/>
    <w:rsid w:val="00CC5633"/>
    <w:rsid w:val="00CC57C6"/>
    <w:rsid w:val="00CC6503"/>
    <w:rsid w:val="00CC6734"/>
    <w:rsid w:val="00CC6A6C"/>
    <w:rsid w:val="00CC70A2"/>
    <w:rsid w:val="00CC7CC6"/>
    <w:rsid w:val="00CD083E"/>
    <w:rsid w:val="00CD183A"/>
    <w:rsid w:val="00CD1992"/>
    <w:rsid w:val="00CD2BF8"/>
    <w:rsid w:val="00CD3943"/>
    <w:rsid w:val="00CD4412"/>
    <w:rsid w:val="00CD4437"/>
    <w:rsid w:val="00CD4730"/>
    <w:rsid w:val="00CD48B2"/>
    <w:rsid w:val="00CD4AFA"/>
    <w:rsid w:val="00CD6538"/>
    <w:rsid w:val="00CD7C6A"/>
    <w:rsid w:val="00CD7E51"/>
    <w:rsid w:val="00CD7ED1"/>
    <w:rsid w:val="00CE0671"/>
    <w:rsid w:val="00CE0B7F"/>
    <w:rsid w:val="00CE0C94"/>
    <w:rsid w:val="00CE156E"/>
    <w:rsid w:val="00CE1ED6"/>
    <w:rsid w:val="00CE2388"/>
    <w:rsid w:val="00CE2BB8"/>
    <w:rsid w:val="00CE2EBF"/>
    <w:rsid w:val="00CE3DFD"/>
    <w:rsid w:val="00CE3EFE"/>
    <w:rsid w:val="00CE43D4"/>
    <w:rsid w:val="00CE4C6C"/>
    <w:rsid w:val="00CE4DC6"/>
    <w:rsid w:val="00CE659A"/>
    <w:rsid w:val="00CE73D9"/>
    <w:rsid w:val="00CF0BD9"/>
    <w:rsid w:val="00CF1E38"/>
    <w:rsid w:val="00CF1ED4"/>
    <w:rsid w:val="00CF3020"/>
    <w:rsid w:val="00CF346F"/>
    <w:rsid w:val="00CF4175"/>
    <w:rsid w:val="00CF4437"/>
    <w:rsid w:val="00CF4D45"/>
    <w:rsid w:val="00CF58FE"/>
    <w:rsid w:val="00CF5F17"/>
    <w:rsid w:val="00CF62B7"/>
    <w:rsid w:val="00CF6A86"/>
    <w:rsid w:val="00CF73B9"/>
    <w:rsid w:val="00D0206E"/>
    <w:rsid w:val="00D02BC3"/>
    <w:rsid w:val="00D02D95"/>
    <w:rsid w:val="00D03FC6"/>
    <w:rsid w:val="00D04112"/>
    <w:rsid w:val="00D0484F"/>
    <w:rsid w:val="00D0494F"/>
    <w:rsid w:val="00D049BD"/>
    <w:rsid w:val="00D05169"/>
    <w:rsid w:val="00D05C55"/>
    <w:rsid w:val="00D06238"/>
    <w:rsid w:val="00D06726"/>
    <w:rsid w:val="00D07626"/>
    <w:rsid w:val="00D07AA0"/>
    <w:rsid w:val="00D10CCF"/>
    <w:rsid w:val="00D11532"/>
    <w:rsid w:val="00D11E80"/>
    <w:rsid w:val="00D13148"/>
    <w:rsid w:val="00D13553"/>
    <w:rsid w:val="00D13603"/>
    <w:rsid w:val="00D137CE"/>
    <w:rsid w:val="00D13804"/>
    <w:rsid w:val="00D13B54"/>
    <w:rsid w:val="00D15798"/>
    <w:rsid w:val="00D170F5"/>
    <w:rsid w:val="00D17349"/>
    <w:rsid w:val="00D177A4"/>
    <w:rsid w:val="00D20671"/>
    <w:rsid w:val="00D215DE"/>
    <w:rsid w:val="00D21666"/>
    <w:rsid w:val="00D2215C"/>
    <w:rsid w:val="00D22393"/>
    <w:rsid w:val="00D22581"/>
    <w:rsid w:val="00D22E4F"/>
    <w:rsid w:val="00D2321D"/>
    <w:rsid w:val="00D2329D"/>
    <w:rsid w:val="00D23787"/>
    <w:rsid w:val="00D23D56"/>
    <w:rsid w:val="00D2427A"/>
    <w:rsid w:val="00D2641C"/>
    <w:rsid w:val="00D26E53"/>
    <w:rsid w:val="00D276EF"/>
    <w:rsid w:val="00D32450"/>
    <w:rsid w:val="00D3295B"/>
    <w:rsid w:val="00D333B0"/>
    <w:rsid w:val="00D33449"/>
    <w:rsid w:val="00D345BA"/>
    <w:rsid w:val="00D3463A"/>
    <w:rsid w:val="00D35BC8"/>
    <w:rsid w:val="00D3612A"/>
    <w:rsid w:val="00D3669C"/>
    <w:rsid w:val="00D407E4"/>
    <w:rsid w:val="00D409EB"/>
    <w:rsid w:val="00D40A74"/>
    <w:rsid w:val="00D40B5F"/>
    <w:rsid w:val="00D40D70"/>
    <w:rsid w:val="00D4188A"/>
    <w:rsid w:val="00D43178"/>
    <w:rsid w:val="00D435BD"/>
    <w:rsid w:val="00D437EF"/>
    <w:rsid w:val="00D43D10"/>
    <w:rsid w:val="00D45744"/>
    <w:rsid w:val="00D46340"/>
    <w:rsid w:val="00D4710B"/>
    <w:rsid w:val="00D474C3"/>
    <w:rsid w:val="00D5124D"/>
    <w:rsid w:val="00D5184A"/>
    <w:rsid w:val="00D51E2C"/>
    <w:rsid w:val="00D531B1"/>
    <w:rsid w:val="00D55048"/>
    <w:rsid w:val="00D570AD"/>
    <w:rsid w:val="00D5772F"/>
    <w:rsid w:val="00D57DDF"/>
    <w:rsid w:val="00D61EC3"/>
    <w:rsid w:val="00D61FAE"/>
    <w:rsid w:val="00D6253D"/>
    <w:rsid w:val="00D6273E"/>
    <w:rsid w:val="00D62DA6"/>
    <w:rsid w:val="00D6390E"/>
    <w:rsid w:val="00D64ADC"/>
    <w:rsid w:val="00D66682"/>
    <w:rsid w:val="00D6680B"/>
    <w:rsid w:val="00D66F78"/>
    <w:rsid w:val="00D6776C"/>
    <w:rsid w:val="00D70264"/>
    <w:rsid w:val="00D719B0"/>
    <w:rsid w:val="00D71F36"/>
    <w:rsid w:val="00D720A9"/>
    <w:rsid w:val="00D725F5"/>
    <w:rsid w:val="00D7293C"/>
    <w:rsid w:val="00D72DAB"/>
    <w:rsid w:val="00D741BC"/>
    <w:rsid w:val="00D813D4"/>
    <w:rsid w:val="00D81FCF"/>
    <w:rsid w:val="00D824CE"/>
    <w:rsid w:val="00D82AFD"/>
    <w:rsid w:val="00D82BAE"/>
    <w:rsid w:val="00D82DF6"/>
    <w:rsid w:val="00D83545"/>
    <w:rsid w:val="00D8387E"/>
    <w:rsid w:val="00D83D30"/>
    <w:rsid w:val="00D83D3F"/>
    <w:rsid w:val="00D84696"/>
    <w:rsid w:val="00D847FF"/>
    <w:rsid w:val="00D84975"/>
    <w:rsid w:val="00D84BDA"/>
    <w:rsid w:val="00D85165"/>
    <w:rsid w:val="00D85B09"/>
    <w:rsid w:val="00D864AA"/>
    <w:rsid w:val="00D86759"/>
    <w:rsid w:val="00D870B7"/>
    <w:rsid w:val="00D87E90"/>
    <w:rsid w:val="00D9145B"/>
    <w:rsid w:val="00D91D02"/>
    <w:rsid w:val="00D92630"/>
    <w:rsid w:val="00D93187"/>
    <w:rsid w:val="00D93BE4"/>
    <w:rsid w:val="00D94560"/>
    <w:rsid w:val="00D94B21"/>
    <w:rsid w:val="00D95714"/>
    <w:rsid w:val="00D95BF2"/>
    <w:rsid w:val="00D95E35"/>
    <w:rsid w:val="00D95EA5"/>
    <w:rsid w:val="00D96B71"/>
    <w:rsid w:val="00D9747C"/>
    <w:rsid w:val="00D97BBC"/>
    <w:rsid w:val="00D97F67"/>
    <w:rsid w:val="00DA02F6"/>
    <w:rsid w:val="00DA0443"/>
    <w:rsid w:val="00DA0665"/>
    <w:rsid w:val="00DA0696"/>
    <w:rsid w:val="00DA0889"/>
    <w:rsid w:val="00DA0AC9"/>
    <w:rsid w:val="00DA0C39"/>
    <w:rsid w:val="00DA1968"/>
    <w:rsid w:val="00DA1B0E"/>
    <w:rsid w:val="00DA21B6"/>
    <w:rsid w:val="00DA2736"/>
    <w:rsid w:val="00DA2C5C"/>
    <w:rsid w:val="00DA3248"/>
    <w:rsid w:val="00DA4AC9"/>
    <w:rsid w:val="00DA5132"/>
    <w:rsid w:val="00DA589A"/>
    <w:rsid w:val="00DB02F7"/>
    <w:rsid w:val="00DB0EEF"/>
    <w:rsid w:val="00DB1C2A"/>
    <w:rsid w:val="00DB1E67"/>
    <w:rsid w:val="00DB2538"/>
    <w:rsid w:val="00DB25B6"/>
    <w:rsid w:val="00DB2A3E"/>
    <w:rsid w:val="00DB2EDD"/>
    <w:rsid w:val="00DB3D1C"/>
    <w:rsid w:val="00DB43C5"/>
    <w:rsid w:val="00DB4DFF"/>
    <w:rsid w:val="00DB5046"/>
    <w:rsid w:val="00DB506A"/>
    <w:rsid w:val="00DB5103"/>
    <w:rsid w:val="00DB5112"/>
    <w:rsid w:val="00DB617E"/>
    <w:rsid w:val="00DB6D62"/>
    <w:rsid w:val="00DB7D08"/>
    <w:rsid w:val="00DC00E2"/>
    <w:rsid w:val="00DC0BC2"/>
    <w:rsid w:val="00DC1556"/>
    <w:rsid w:val="00DC2843"/>
    <w:rsid w:val="00DC2DAE"/>
    <w:rsid w:val="00DC2DF5"/>
    <w:rsid w:val="00DC3793"/>
    <w:rsid w:val="00DC44C6"/>
    <w:rsid w:val="00DC44FB"/>
    <w:rsid w:val="00DC52CC"/>
    <w:rsid w:val="00DC540E"/>
    <w:rsid w:val="00DC6B63"/>
    <w:rsid w:val="00DC7A6C"/>
    <w:rsid w:val="00DD044B"/>
    <w:rsid w:val="00DD0C9A"/>
    <w:rsid w:val="00DD19F5"/>
    <w:rsid w:val="00DD2C2C"/>
    <w:rsid w:val="00DD2C71"/>
    <w:rsid w:val="00DD3C10"/>
    <w:rsid w:val="00DD5EEF"/>
    <w:rsid w:val="00DD5FC0"/>
    <w:rsid w:val="00DD6100"/>
    <w:rsid w:val="00DD6E56"/>
    <w:rsid w:val="00DD7311"/>
    <w:rsid w:val="00DD74BB"/>
    <w:rsid w:val="00DD791E"/>
    <w:rsid w:val="00DD7D99"/>
    <w:rsid w:val="00DE0931"/>
    <w:rsid w:val="00DE0F3F"/>
    <w:rsid w:val="00DE123D"/>
    <w:rsid w:val="00DE1D73"/>
    <w:rsid w:val="00DE2169"/>
    <w:rsid w:val="00DE2ACB"/>
    <w:rsid w:val="00DE3403"/>
    <w:rsid w:val="00DE3532"/>
    <w:rsid w:val="00DE3C95"/>
    <w:rsid w:val="00DE3E27"/>
    <w:rsid w:val="00DE4070"/>
    <w:rsid w:val="00DE44C8"/>
    <w:rsid w:val="00DE657F"/>
    <w:rsid w:val="00DE68B9"/>
    <w:rsid w:val="00DE6A15"/>
    <w:rsid w:val="00DF0A0D"/>
    <w:rsid w:val="00DF1EC7"/>
    <w:rsid w:val="00DF22A0"/>
    <w:rsid w:val="00DF23FB"/>
    <w:rsid w:val="00DF2537"/>
    <w:rsid w:val="00DF2654"/>
    <w:rsid w:val="00DF2A76"/>
    <w:rsid w:val="00DF313A"/>
    <w:rsid w:val="00DF39C3"/>
    <w:rsid w:val="00DF3CCC"/>
    <w:rsid w:val="00DF3DD0"/>
    <w:rsid w:val="00DF4649"/>
    <w:rsid w:val="00DF495D"/>
    <w:rsid w:val="00DF4CC7"/>
    <w:rsid w:val="00DF4F52"/>
    <w:rsid w:val="00DF5913"/>
    <w:rsid w:val="00DF5BEA"/>
    <w:rsid w:val="00DF5D8D"/>
    <w:rsid w:val="00DF6397"/>
    <w:rsid w:val="00DF67B7"/>
    <w:rsid w:val="00DF6D3F"/>
    <w:rsid w:val="00DF6DB7"/>
    <w:rsid w:val="00DF6FB1"/>
    <w:rsid w:val="00DF6FB9"/>
    <w:rsid w:val="00E009CB"/>
    <w:rsid w:val="00E00D3E"/>
    <w:rsid w:val="00E01CDD"/>
    <w:rsid w:val="00E02891"/>
    <w:rsid w:val="00E02AFD"/>
    <w:rsid w:val="00E02F03"/>
    <w:rsid w:val="00E0334E"/>
    <w:rsid w:val="00E03D38"/>
    <w:rsid w:val="00E0505A"/>
    <w:rsid w:val="00E05291"/>
    <w:rsid w:val="00E05305"/>
    <w:rsid w:val="00E05CB2"/>
    <w:rsid w:val="00E06A21"/>
    <w:rsid w:val="00E06A34"/>
    <w:rsid w:val="00E06BFB"/>
    <w:rsid w:val="00E06F07"/>
    <w:rsid w:val="00E071C8"/>
    <w:rsid w:val="00E0766A"/>
    <w:rsid w:val="00E076C1"/>
    <w:rsid w:val="00E079AF"/>
    <w:rsid w:val="00E101A5"/>
    <w:rsid w:val="00E11416"/>
    <w:rsid w:val="00E11662"/>
    <w:rsid w:val="00E11CC1"/>
    <w:rsid w:val="00E11CD4"/>
    <w:rsid w:val="00E1206C"/>
    <w:rsid w:val="00E12775"/>
    <w:rsid w:val="00E12937"/>
    <w:rsid w:val="00E13954"/>
    <w:rsid w:val="00E13A68"/>
    <w:rsid w:val="00E13E43"/>
    <w:rsid w:val="00E14E35"/>
    <w:rsid w:val="00E1622E"/>
    <w:rsid w:val="00E16ABF"/>
    <w:rsid w:val="00E177BC"/>
    <w:rsid w:val="00E20745"/>
    <w:rsid w:val="00E20FAC"/>
    <w:rsid w:val="00E21E66"/>
    <w:rsid w:val="00E2352F"/>
    <w:rsid w:val="00E23AF1"/>
    <w:rsid w:val="00E24CF0"/>
    <w:rsid w:val="00E254C4"/>
    <w:rsid w:val="00E25B75"/>
    <w:rsid w:val="00E26204"/>
    <w:rsid w:val="00E26215"/>
    <w:rsid w:val="00E26813"/>
    <w:rsid w:val="00E30618"/>
    <w:rsid w:val="00E310B9"/>
    <w:rsid w:val="00E316D8"/>
    <w:rsid w:val="00E31F77"/>
    <w:rsid w:val="00E320EE"/>
    <w:rsid w:val="00E32E84"/>
    <w:rsid w:val="00E33E6A"/>
    <w:rsid w:val="00E34807"/>
    <w:rsid w:val="00E35410"/>
    <w:rsid w:val="00E35433"/>
    <w:rsid w:val="00E35BAD"/>
    <w:rsid w:val="00E36130"/>
    <w:rsid w:val="00E36A79"/>
    <w:rsid w:val="00E36C40"/>
    <w:rsid w:val="00E36ED6"/>
    <w:rsid w:val="00E37C77"/>
    <w:rsid w:val="00E37D35"/>
    <w:rsid w:val="00E40750"/>
    <w:rsid w:val="00E40914"/>
    <w:rsid w:val="00E41993"/>
    <w:rsid w:val="00E42E00"/>
    <w:rsid w:val="00E433D9"/>
    <w:rsid w:val="00E434E5"/>
    <w:rsid w:val="00E43CC1"/>
    <w:rsid w:val="00E44586"/>
    <w:rsid w:val="00E44D87"/>
    <w:rsid w:val="00E44F49"/>
    <w:rsid w:val="00E45866"/>
    <w:rsid w:val="00E45DDA"/>
    <w:rsid w:val="00E45FB1"/>
    <w:rsid w:val="00E4675C"/>
    <w:rsid w:val="00E470F3"/>
    <w:rsid w:val="00E5026B"/>
    <w:rsid w:val="00E504B7"/>
    <w:rsid w:val="00E514E3"/>
    <w:rsid w:val="00E5234E"/>
    <w:rsid w:val="00E53BCD"/>
    <w:rsid w:val="00E5409A"/>
    <w:rsid w:val="00E54871"/>
    <w:rsid w:val="00E54D85"/>
    <w:rsid w:val="00E5590F"/>
    <w:rsid w:val="00E56B40"/>
    <w:rsid w:val="00E578E2"/>
    <w:rsid w:val="00E60148"/>
    <w:rsid w:val="00E61AEC"/>
    <w:rsid w:val="00E62624"/>
    <w:rsid w:val="00E62D22"/>
    <w:rsid w:val="00E63D14"/>
    <w:rsid w:val="00E64A11"/>
    <w:rsid w:val="00E64DCE"/>
    <w:rsid w:val="00E65977"/>
    <w:rsid w:val="00E65D1E"/>
    <w:rsid w:val="00E66746"/>
    <w:rsid w:val="00E66A4B"/>
    <w:rsid w:val="00E66DDE"/>
    <w:rsid w:val="00E671AC"/>
    <w:rsid w:val="00E67C30"/>
    <w:rsid w:val="00E7013C"/>
    <w:rsid w:val="00E736BE"/>
    <w:rsid w:val="00E7400C"/>
    <w:rsid w:val="00E74644"/>
    <w:rsid w:val="00E749E2"/>
    <w:rsid w:val="00E74EBE"/>
    <w:rsid w:val="00E75213"/>
    <w:rsid w:val="00E75952"/>
    <w:rsid w:val="00E75955"/>
    <w:rsid w:val="00E76492"/>
    <w:rsid w:val="00E7685C"/>
    <w:rsid w:val="00E76913"/>
    <w:rsid w:val="00E7705E"/>
    <w:rsid w:val="00E80B65"/>
    <w:rsid w:val="00E8280C"/>
    <w:rsid w:val="00E82A2A"/>
    <w:rsid w:val="00E8384D"/>
    <w:rsid w:val="00E83AFC"/>
    <w:rsid w:val="00E848AF"/>
    <w:rsid w:val="00E8627F"/>
    <w:rsid w:val="00E864E6"/>
    <w:rsid w:val="00E86506"/>
    <w:rsid w:val="00E879DA"/>
    <w:rsid w:val="00E90F9C"/>
    <w:rsid w:val="00E91F3D"/>
    <w:rsid w:val="00E92AC9"/>
    <w:rsid w:val="00E92ACB"/>
    <w:rsid w:val="00E9393B"/>
    <w:rsid w:val="00E9490F"/>
    <w:rsid w:val="00E94CE2"/>
    <w:rsid w:val="00E955AC"/>
    <w:rsid w:val="00E95C6E"/>
    <w:rsid w:val="00E96F9D"/>
    <w:rsid w:val="00EA01B1"/>
    <w:rsid w:val="00EA0725"/>
    <w:rsid w:val="00EA116F"/>
    <w:rsid w:val="00EA1366"/>
    <w:rsid w:val="00EA1FF3"/>
    <w:rsid w:val="00EA2073"/>
    <w:rsid w:val="00EA2529"/>
    <w:rsid w:val="00EA2B84"/>
    <w:rsid w:val="00EA329B"/>
    <w:rsid w:val="00EA4DD0"/>
    <w:rsid w:val="00EA6397"/>
    <w:rsid w:val="00EA7495"/>
    <w:rsid w:val="00EB149F"/>
    <w:rsid w:val="00EB15A2"/>
    <w:rsid w:val="00EB1929"/>
    <w:rsid w:val="00EB1C36"/>
    <w:rsid w:val="00EB2037"/>
    <w:rsid w:val="00EB2D69"/>
    <w:rsid w:val="00EB46A3"/>
    <w:rsid w:val="00EB46D4"/>
    <w:rsid w:val="00EB5139"/>
    <w:rsid w:val="00EB55A7"/>
    <w:rsid w:val="00EB591A"/>
    <w:rsid w:val="00EB611E"/>
    <w:rsid w:val="00EB6AD2"/>
    <w:rsid w:val="00EB7286"/>
    <w:rsid w:val="00EB7629"/>
    <w:rsid w:val="00EB7E1D"/>
    <w:rsid w:val="00EC092D"/>
    <w:rsid w:val="00EC19BF"/>
    <w:rsid w:val="00EC1DF9"/>
    <w:rsid w:val="00EC245D"/>
    <w:rsid w:val="00EC265A"/>
    <w:rsid w:val="00EC3CF8"/>
    <w:rsid w:val="00EC439D"/>
    <w:rsid w:val="00EC488D"/>
    <w:rsid w:val="00EC49A0"/>
    <w:rsid w:val="00EC591E"/>
    <w:rsid w:val="00EC594C"/>
    <w:rsid w:val="00EC596C"/>
    <w:rsid w:val="00EC6106"/>
    <w:rsid w:val="00EC6CDA"/>
    <w:rsid w:val="00EC767A"/>
    <w:rsid w:val="00EC7B57"/>
    <w:rsid w:val="00EC7DDD"/>
    <w:rsid w:val="00ED087A"/>
    <w:rsid w:val="00ED18F1"/>
    <w:rsid w:val="00ED326C"/>
    <w:rsid w:val="00ED4F0B"/>
    <w:rsid w:val="00ED513F"/>
    <w:rsid w:val="00ED5809"/>
    <w:rsid w:val="00ED6179"/>
    <w:rsid w:val="00ED625B"/>
    <w:rsid w:val="00ED6CBF"/>
    <w:rsid w:val="00ED6DA1"/>
    <w:rsid w:val="00ED76B2"/>
    <w:rsid w:val="00ED7B8A"/>
    <w:rsid w:val="00ED7F83"/>
    <w:rsid w:val="00EE082F"/>
    <w:rsid w:val="00EE1581"/>
    <w:rsid w:val="00EE1DFB"/>
    <w:rsid w:val="00EE26E5"/>
    <w:rsid w:val="00EE47B3"/>
    <w:rsid w:val="00EE4D9C"/>
    <w:rsid w:val="00EE521D"/>
    <w:rsid w:val="00EE54B0"/>
    <w:rsid w:val="00EE59CC"/>
    <w:rsid w:val="00EE5EB8"/>
    <w:rsid w:val="00EE6632"/>
    <w:rsid w:val="00EE74BB"/>
    <w:rsid w:val="00EF0174"/>
    <w:rsid w:val="00EF05F4"/>
    <w:rsid w:val="00EF1B03"/>
    <w:rsid w:val="00EF2922"/>
    <w:rsid w:val="00EF2DB4"/>
    <w:rsid w:val="00EF2E32"/>
    <w:rsid w:val="00EF3AA0"/>
    <w:rsid w:val="00EF3F67"/>
    <w:rsid w:val="00EF4E32"/>
    <w:rsid w:val="00EF4F5A"/>
    <w:rsid w:val="00EF57F2"/>
    <w:rsid w:val="00EF595F"/>
    <w:rsid w:val="00EF635B"/>
    <w:rsid w:val="00EF6780"/>
    <w:rsid w:val="00EF7543"/>
    <w:rsid w:val="00EF7932"/>
    <w:rsid w:val="00EF7E6E"/>
    <w:rsid w:val="00F00C2C"/>
    <w:rsid w:val="00F01C62"/>
    <w:rsid w:val="00F03016"/>
    <w:rsid w:val="00F035CC"/>
    <w:rsid w:val="00F048AE"/>
    <w:rsid w:val="00F04C9D"/>
    <w:rsid w:val="00F04EF2"/>
    <w:rsid w:val="00F0680F"/>
    <w:rsid w:val="00F079F6"/>
    <w:rsid w:val="00F07FCB"/>
    <w:rsid w:val="00F117C2"/>
    <w:rsid w:val="00F12536"/>
    <w:rsid w:val="00F12C37"/>
    <w:rsid w:val="00F12CCF"/>
    <w:rsid w:val="00F13794"/>
    <w:rsid w:val="00F14B21"/>
    <w:rsid w:val="00F14EA6"/>
    <w:rsid w:val="00F14F09"/>
    <w:rsid w:val="00F157F4"/>
    <w:rsid w:val="00F161C4"/>
    <w:rsid w:val="00F165C8"/>
    <w:rsid w:val="00F16871"/>
    <w:rsid w:val="00F17081"/>
    <w:rsid w:val="00F17A69"/>
    <w:rsid w:val="00F202A2"/>
    <w:rsid w:val="00F20316"/>
    <w:rsid w:val="00F222AA"/>
    <w:rsid w:val="00F224C3"/>
    <w:rsid w:val="00F22FAF"/>
    <w:rsid w:val="00F23B39"/>
    <w:rsid w:val="00F23EB6"/>
    <w:rsid w:val="00F243E5"/>
    <w:rsid w:val="00F244FA"/>
    <w:rsid w:val="00F255FB"/>
    <w:rsid w:val="00F263F0"/>
    <w:rsid w:val="00F26E98"/>
    <w:rsid w:val="00F30E40"/>
    <w:rsid w:val="00F31205"/>
    <w:rsid w:val="00F31664"/>
    <w:rsid w:val="00F3206C"/>
    <w:rsid w:val="00F33891"/>
    <w:rsid w:val="00F34A0E"/>
    <w:rsid w:val="00F3573D"/>
    <w:rsid w:val="00F359B0"/>
    <w:rsid w:val="00F3676B"/>
    <w:rsid w:val="00F37BFA"/>
    <w:rsid w:val="00F402A5"/>
    <w:rsid w:val="00F41513"/>
    <w:rsid w:val="00F41804"/>
    <w:rsid w:val="00F41AE7"/>
    <w:rsid w:val="00F42509"/>
    <w:rsid w:val="00F43D0B"/>
    <w:rsid w:val="00F45C2B"/>
    <w:rsid w:val="00F462E1"/>
    <w:rsid w:val="00F463FA"/>
    <w:rsid w:val="00F46454"/>
    <w:rsid w:val="00F465AB"/>
    <w:rsid w:val="00F469D4"/>
    <w:rsid w:val="00F479C6"/>
    <w:rsid w:val="00F47A38"/>
    <w:rsid w:val="00F47CC6"/>
    <w:rsid w:val="00F500E0"/>
    <w:rsid w:val="00F5149F"/>
    <w:rsid w:val="00F529A3"/>
    <w:rsid w:val="00F53AB5"/>
    <w:rsid w:val="00F549BC"/>
    <w:rsid w:val="00F54A26"/>
    <w:rsid w:val="00F555C1"/>
    <w:rsid w:val="00F557A3"/>
    <w:rsid w:val="00F565B0"/>
    <w:rsid w:val="00F60223"/>
    <w:rsid w:val="00F60B85"/>
    <w:rsid w:val="00F625B2"/>
    <w:rsid w:val="00F62CF9"/>
    <w:rsid w:val="00F636BD"/>
    <w:rsid w:val="00F637DD"/>
    <w:rsid w:val="00F6444D"/>
    <w:rsid w:val="00F644B6"/>
    <w:rsid w:val="00F65323"/>
    <w:rsid w:val="00F65A69"/>
    <w:rsid w:val="00F673B1"/>
    <w:rsid w:val="00F67FA3"/>
    <w:rsid w:val="00F7002B"/>
    <w:rsid w:val="00F7035B"/>
    <w:rsid w:val="00F7059A"/>
    <w:rsid w:val="00F7124C"/>
    <w:rsid w:val="00F720DA"/>
    <w:rsid w:val="00F730C1"/>
    <w:rsid w:val="00F740B7"/>
    <w:rsid w:val="00F74546"/>
    <w:rsid w:val="00F759D0"/>
    <w:rsid w:val="00F75A91"/>
    <w:rsid w:val="00F75BC3"/>
    <w:rsid w:val="00F7619D"/>
    <w:rsid w:val="00F7649D"/>
    <w:rsid w:val="00F76722"/>
    <w:rsid w:val="00F76A30"/>
    <w:rsid w:val="00F76DD6"/>
    <w:rsid w:val="00F77C8C"/>
    <w:rsid w:val="00F80144"/>
    <w:rsid w:val="00F81C81"/>
    <w:rsid w:val="00F822C5"/>
    <w:rsid w:val="00F82FAB"/>
    <w:rsid w:val="00F83668"/>
    <w:rsid w:val="00F836F3"/>
    <w:rsid w:val="00F83BB6"/>
    <w:rsid w:val="00F848A8"/>
    <w:rsid w:val="00F84DFB"/>
    <w:rsid w:val="00F851EF"/>
    <w:rsid w:val="00F852A9"/>
    <w:rsid w:val="00F85694"/>
    <w:rsid w:val="00F85DA4"/>
    <w:rsid w:val="00F86448"/>
    <w:rsid w:val="00F874AD"/>
    <w:rsid w:val="00F90E01"/>
    <w:rsid w:val="00F9224D"/>
    <w:rsid w:val="00F92490"/>
    <w:rsid w:val="00F930A6"/>
    <w:rsid w:val="00F9333C"/>
    <w:rsid w:val="00F93948"/>
    <w:rsid w:val="00F93997"/>
    <w:rsid w:val="00F93D1E"/>
    <w:rsid w:val="00F9413C"/>
    <w:rsid w:val="00F9492D"/>
    <w:rsid w:val="00F9531F"/>
    <w:rsid w:val="00F960F4"/>
    <w:rsid w:val="00F9624B"/>
    <w:rsid w:val="00F96684"/>
    <w:rsid w:val="00F966D2"/>
    <w:rsid w:val="00F96C8D"/>
    <w:rsid w:val="00F97FBB"/>
    <w:rsid w:val="00FA0A0F"/>
    <w:rsid w:val="00FA10C8"/>
    <w:rsid w:val="00FA1978"/>
    <w:rsid w:val="00FA2B37"/>
    <w:rsid w:val="00FA3EB8"/>
    <w:rsid w:val="00FA3F60"/>
    <w:rsid w:val="00FA4029"/>
    <w:rsid w:val="00FA4077"/>
    <w:rsid w:val="00FA4605"/>
    <w:rsid w:val="00FA4E7E"/>
    <w:rsid w:val="00FA4F87"/>
    <w:rsid w:val="00FA52E1"/>
    <w:rsid w:val="00FA5ADB"/>
    <w:rsid w:val="00FA7886"/>
    <w:rsid w:val="00FB054C"/>
    <w:rsid w:val="00FB072C"/>
    <w:rsid w:val="00FB0D9F"/>
    <w:rsid w:val="00FB18A1"/>
    <w:rsid w:val="00FB2155"/>
    <w:rsid w:val="00FB28E8"/>
    <w:rsid w:val="00FB3EDD"/>
    <w:rsid w:val="00FB3FD2"/>
    <w:rsid w:val="00FB41C7"/>
    <w:rsid w:val="00FB495D"/>
    <w:rsid w:val="00FB4B75"/>
    <w:rsid w:val="00FB5502"/>
    <w:rsid w:val="00FB55DB"/>
    <w:rsid w:val="00FB595F"/>
    <w:rsid w:val="00FB5AB2"/>
    <w:rsid w:val="00FB67E8"/>
    <w:rsid w:val="00FB6CC5"/>
    <w:rsid w:val="00FB7131"/>
    <w:rsid w:val="00FB7293"/>
    <w:rsid w:val="00FB7307"/>
    <w:rsid w:val="00FB7FFD"/>
    <w:rsid w:val="00FC003B"/>
    <w:rsid w:val="00FC07C3"/>
    <w:rsid w:val="00FC1115"/>
    <w:rsid w:val="00FC1EC1"/>
    <w:rsid w:val="00FC213C"/>
    <w:rsid w:val="00FC3BBA"/>
    <w:rsid w:val="00FC434E"/>
    <w:rsid w:val="00FC4736"/>
    <w:rsid w:val="00FC656A"/>
    <w:rsid w:val="00FC65E9"/>
    <w:rsid w:val="00FC66A8"/>
    <w:rsid w:val="00FC6911"/>
    <w:rsid w:val="00FC7E20"/>
    <w:rsid w:val="00FD1288"/>
    <w:rsid w:val="00FD22EA"/>
    <w:rsid w:val="00FD27DE"/>
    <w:rsid w:val="00FD2C3D"/>
    <w:rsid w:val="00FD30A3"/>
    <w:rsid w:val="00FD32C6"/>
    <w:rsid w:val="00FD38E2"/>
    <w:rsid w:val="00FD3B82"/>
    <w:rsid w:val="00FD4CF8"/>
    <w:rsid w:val="00FD52A0"/>
    <w:rsid w:val="00FD583D"/>
    <w:rsid w:val="00FD5DF7"/>
    <w:rsid w:val="00FD6A00"/>
    <w:rsid w:val="00FD6AD9"/>
    <w:rsid w:val="00FD6F7E"/>
    <w:rsid w:val="00FD7C8D"/>
    <w:rsid w:val="00FE025E"/>
    <w:rsid w:val="00FE158A"/>
    <w:rsid w:val="00FE19EE"/>
    <w:rsid w:val="00FE19F9"/>
    <w:rsid w:val="00FE21C1"/>
    <w:rsid w:val="00FE28E4"/>
    <w:rsid w:val="00FE2D0D"/>
    <w:rsid w:val="00FE2F05"/>
    <w:rsid w:val="00FE34F4"/>
    <w:rsid w:val="00FE4BA0"/>
    <w:rsid w:val="00FE5915"/>
    <w:rsid w:val="00FE67E3"/>
    <w:rsid w:val="00FE6883"/>
    <w:rsid w:val="00FE6A61"/>
    <w:rsid w:val="00FE7768"/>
    <w:rsid w:val="00FF0791"/>
    <w:rsid w:val="00FF08E3"/>
    <w:rsid w:val="00FF09C3"/>
    <w:rsid w:val="00FF0B8C"/>
    <w:rsid w:val="00FF0E0E"/>
    <w:rsid w:val="00FF1407"/>
    <w:rsid w:val="00FF14FE"/>
    <w:rsid w:val="00FF1612"/>
    <w:rsid w:val="00FF2E49"/>
    <w:rsid w:val="00FF3963"/>
    <w:rsid w:val="00FF3AFF"/>
    <w:rsid w:val="00FF4206"/>
    <w:rsid w:val="00FF4643"/>
    <w:rsid w:val="00FF4667"/>
    <w:rsid w:val="00FF4C2F"/>
    <w:rsid w:val="00FF532B"/>
    <w:rsid w:val="00FF547A"/>
    <w:rsid w:val="00FF5741"/>
    <w:rsid w:val="00FF579E"/>
    <w:rsid w:val="00FF670E"/>
    <w:rsid w:val="00FF6CAE"/>
    <w:rsid w:val="00FF6D3E"/>
    <w:rsid w:val="00FF6F19"/>
    <w:rsid w:val="00FF737E"/>
    <w:rsid w:val="00FF77D5"/>
    <w:rsid w:val="00FF7D96"/>
    <w:rsid w:val="0103CD79"/>
    <w:rsid w:val="0124A00D"/>
    <w:rsid w:val="01B705A3"/>
    <w:rsid w:val="0261738B"/>
    <w:rsid w:val="0297F3C4"/>
    <w:rsid w:val="02AB7257"/>
    <w:rsid w:val="02E58D0D"/>
    <w:rsid w:val="02EFC0EE"/>
    <w:rsid w:val="02FF1B95"/>
    <w:rsid w:val="036E4A30"/>
    <w:rsid w:val="038597D5"/>
    <w:rsid w:val="03D4B6C3"/>
    <w:rsid w:val="03E6A378"/>
    <w:rsid w:val="03E93CD8"/>
    <w:rsid w:val="042257BD"/>
    <w:rsid w:val="0444529F"/>
    <w:rsid w:val="046E1BFB"/>
    <w:rsid w:val="04964EA4"/>
    <w:rsid w:val="04A31D18"/>
    <w:rsid w:val="05174ED4"/>
    <w:rsid w:val="05956E2F"/>
    <w:rsid w:val="059D2431"/>
    <w:rsid w:val="05BD1EE7"/>
    <w:rsid w:val="072A6D7C"/>
    <w:rsid w:val="075056BB"/>
    <w:rsid w:val="079C3415"/>
    <w:rsid w:val="07CF257D"/>
    <w:rsid w:val="07D1347E"/>
    <w:rsid w:val="07D612DC"/>
    <w:rsid w:val="0855575A"/>
    <w:rsid w:val="0996BCB0"/>
    <w:rsid w:val="0A12CD66"/>
    <w:rsid w:val="0A4BE0FD"/>
    <w:rsid w:val="0B9C2C1C"/>
    <w:rsid w:val="0D4CD58A"/>
    <w:rsid w:val="0D7C514D"/>
    <w:rsid w:val="0DB40957"/>
    <w:rsid w:val="0DD88D37"/>
    <w:rsid w:val="0E0189A0"/>
    <w:rsid w:val="0E1D5364"/>
    <w:rsid w:val="0EA1D70F"/>
    <w:rsid w:val="0F9BA9F4"/>
    <w:rsid w:val="0FCAF948"/>
    <w:rsid w:val="0FE4ACAF"/>
    <w:rsid w:val="1261326F"/>
    <w:rsid w:val="12C7CAAD"/>
    <w:rsid w:val="12F70AB4"/>
    <w:rsid w:val="13044FF8"/>
    <w:rsid w:val="131DE393"/>
    <w:rsid w:val="139CF35B"/>
    <w:rsid w:val="13D08D6A"/>
    <w:rsid w:val="14738FDC"/>
    <w:rsid w:val="1474C9CE"/>
    <w:rsid w:val="14920B0F"/>
    <w:rsid w:val="14DBA751"/>
    <w:rsid w:val="1507CFC2"/>
    <w:rsid w:val="15542C15"/>
    <w:rsid w:val="15AAFDFC"/>
    <w:rsid w:val="169F16A7"/>
    <w:rsid w:val="16B127F0"/>
    <w:rsid w:val="16FA9D52"/>
    <w:rsid w:val="177D2129"/>
    <w:rsid w:val="17B9E035"/>
    <w:rsid w:val="17BF1948"/>
    <w:rsid w:val="1800D39C"/>
    <w:rsid w:val="18275A8C"/>
    <w:rsid w:val="184D3758"/>
    <w:rsid w:val="186B95F1"/>
    <w:rsid w:val="188C529E"/>
    <w:rsid w:val="18DEEB0E"/>
    <w:rsid w:val="1902B61F"/>
    <w:rsid w:val="199DFD6B"/>
    <w:rsid w:val="19A5F58C"/>
    <w:rsid w:val="19CAB06B"/>
    <w:rsid w:val="19F31F00"/>
    <w:rsid w:val="1A537AB9"/>
    <w:rsid w:val="1AB5BE3A"/>
    <w:rsid w:val="1ABFFE22"/>
    <w:rsid w:val="1C384DE0"/>
    <w:rsid w:val="1CB7F0F9"/>
    <w:rsid w:val="1D2E88DA"/>
    <w:rsid w:val="1DE344A7"/>
    <w:rsid w:val="1E1C3336"/>
    <w:rsid w:val="1E84AA3B"/>
    <w:rsid w:val="1E98204B"/>
    <w:rsid w:val="1F3F2AF8"/>
    <w:rsid w:val="2006FD63"/>
    <w:rsid w:val="201B5761"/>
    <w:rsid w:val="208AF130"/>
    <w:rsid w:val="208EFBE6"/>
    <w:rsid w:val="2140E3EE"/>
    <w:rsid w:val="2185675E"/>
    <w:rsid w:val="21CCD470"/>
    <w:rsid w:val="2202B890"/>
    <w:rsid w:val="2206A21B"/>
    <w:rsid w:val="22E1A03E"/>
    <w:rsid w:val="2308F541"/>
    <w:rsid w:val="241066FC"/>
    <w:rsid w:val="243F2BA9"/>
    <w:rsid w:val="24A26779"/>
    <w:rsid w:val="24F29D08"/>
    <w:rsid w:val="2501F8A1"/>
    <w:rsid w:val="25394035"/>
    <w:rsid w:val="257D2CAC"/>
    <w:rsid w:val="25865530"/>
    <w:rsid w:val="25F4F0ED"/>
    <w:rsid w:val="262075C1"/>
    <w:rsid w:val="267E7826"/>
    <w:rsid w:val="2695711B"/>
    <w:rsid w:val="2752EB6D"/>
    <w:rsid w:val="276BEE31"/>
    <w:rsid w:val="278FF21A"/>
    <w:rsid w:val="2791D843"/>
    <w:rsid w:val="2836DF56"/>
    <w:rsid w:val="28B89CF0"/>
    <w:rsid w:val="2930E071"/>
    <w:rsid w:val="29D50627"/>
    <w:rsid w:val="29DD4950"/>
    <w:rsid w:val="2A385652"/>
    <w:rsid w:val="2A99883E"/>
    <w:rsid w:val="2B203AAC"/>
    <w:rsid w:val="2B4D4E17"/>
    <w:rsid w:val="2B89D0B5"/>
    <w:rsid w:val="2C3FC52D"/>
    <w:rsid w:val="2CAAB472"/>
    <w:rsid w:val="2CDAD4F1"/>
    <w:rsid w:val="2DA1E9F9"/>
    <w:rsid w:val="2DFE3AC5"/>
    <w:rsid w:val="2E1C1412"/>
    <w:rsid w:val="2E37879E"/>
    <w:rsid w:val="2E401DD8"/>
    <w:rsid w:val="2EC37BCC"/>
    <w:rsid w:val="2F28D9A5"/>
    <w:rsid w:val="2F4E2BEA"/>
    <w:rsid w:val="2FA02B10"/>
    <w:rsid w:val="3004ECB5"/>
    <w:rsid w:val="309CC31C"/>
    <w:rsid w:val="309FA77A"/>
    <w:rsid w:val="310BED94"/>
    <w:rsid w:val="314DEF8C"/>
    <w:rsid w:val="31A19269"/>
    <w:rsid w:val="31C4470D"/>
    <w:rsid w:val="3236D7D0"/>
    <w:rsid w:val="333212AA"/>
    <w:rsid w:val="333C5B6C"/>
    <w:rsid w:val="3369240E"/>
    <w:rsid w:val="33699C50"/>
    <w:rsid w:val="33CC69DD"/>
    <w:rsid w:val="33EDA5CC"/>
    <w:rsid w:val="346DCA58"/>
    <w:rsid w:val="348AC135"/>
    <w:rsid w:val="34CD4AC3"/>
    <w:rsid w:val="34FB3111"/>
    <w:rsid w:val="34FF4B89"/>
    <w:rsid w:val="3555260C"/>
    <w:rsid w:val="35B7CF4D"/>
    <w:rsid w:val="3657DACD"/>
    <w:rsid w:val="372CF292"/>
    <w:rsid w:val="377991CC"/>
    <w:rsid w:val="3804E29D"/>
    <w:rsid w:val="386DBF7C"/>
    <w:rsid w:val="38AAD6BA"/>
    <w:rsid w:val="3920FB27"/>
    <w:rsid w:val="39546F94"/>
    <w:rsid w:val="397F0B1A"/>
    <w:rsid w:val="39BB3128"/>
    <w:rsid w:val="3A396B35"/>
    <w:rsid w:val="3A721DD2"/>
    <w:rsid w:val="3A814817"/>
    <w:rsid w:val="3A827206"/>
    <w:rsid w:val="3AA044B6"/>
    <w:rsid w:val="3AE4566E"/>
    <w:rsid w:val="3B0B808C"/>
    <w:rsid w:val="3BC845E3"/>
    <w:rsid w:val="3BD8A1A8"/>
    <w:rsid w:val="3BECF7A2"/>
    <w:rsid w:val="3C712151"/>
    <w:rsid w:val="3D57A1CD"/>
    <w:rsid w:val="3DCC564A"/>
    <w:rsid w:val="3DD1E826"/>
    <w:rsid w:val="3DD8C845"/>
    <w:rsid w:val="3DF44135"/>
    <w:rsid w:val="3E59ECA3"/>
    <w:rsid w:val="3E62666E"/>
    <w:rsid w:val="3F40E22B"/>
    <w:rsid w:val="3FAB1AE9"/>
    <w:rsid w:val="3FBB4FBE"/>
    <w:rsid w:val="405BF781"/>
    <w:rsid w:val="41C64149"/>
    <w:rsid w:val="41DEDC54"/>
    <w:rsid w:val="41F22160"/>
    <w:rsid w:val="43E42357"/>
    <w:rsid w:val="441F55F5"/>
    <w:rsid w:val="4453734F"/>
    <w:rsid w:val="44621E07"/>
    <w:rsid w:val="44B24B50"/>
    <w:rsid w:val="44F360F2"/>
    <w:rsid w:val="4545D0E8"/>
    <w:rsid w:val="459F65A7"/>
    <w:rsid w:val="46378BB7"/>
    <w:rsid w:val="467E54D4"/>
    <w:rsid w:val="46E967A1"/>
    <w:rsid w:val="47133695"/>
    <w:rsid w:val="47762E51"/>
    <w:rsid w:val="47C57F9E"/>
    <w:rsid w:val="48CFC843"/>
    <w:rsid w:val="49473559"/>
    <w:rsid w:val="49E31947"/>
    <w:rsid w:val="4A5AF9BA"/>
    <w:rsid w:val="4BECA55E"/>
    <w:rsid w:val="4C583943"/>
    <w:rsid w:val="4CC9BCD5"/>
    <w:rsid w:val="4DAEEC18"/>
    <w:rsid w:val="4DD0888B"/>
    <w:rsid w:val="4DD3CF80"/>
    <w:rsid w:val="4E769E94"/>
    <w:rsid w:val="4F121421"/>
    <w:rsid w:val="4F4B0575"/>
    <w:rsid w:val="4F6AD33F"/>
    <w:rsid w:val="4F8D4578"/>
    <w:rsid w:val="4FF330A4"/>
    <w:rsid w:val="50BC93E8"/>
    <w:rsid w:val="50CC9C63"/>
    <w:rsid w:val="50EE62BC"/>
    <w:rsid w:val="513AFD9B"/>
    <w:rsid w:val="51B425CB"/>
    <w:rsid w:val="520D476B"/>
    <w:rsid w:val="5274BC0E"/>
    <w:rsid w:val="5285AD59"/>
    <w:rsid w:val="52A875A3"/>
    <w:rsid w:val="52B3FD70"/>
    <w:rsid w:val="52C42328"/>
    <w:rsid w:val="52EDC516"/>
    <w:rsid w:val="532FF219"/>
    <w:rsid w:val="53F351B6"/>
    <w:rsid w:val="53F63CB1"/>
    <w:rsid w:val="546449B7"/>
    <w:rsid w:val="551ED26D"/>
    <w:rsid w:val="56CDBF2E"/>
    <w:rsid w:val="5848C090"/>
    <w:rsid w:val="58CE256E"/>
    <w:rsid w:val="5924426E"/>
    <w:rsid w:val="597E5D1F"/>
    <w:rsid w:val="59B1E362"/>
    <w:rsid w:val="59E6B129"/>
    <w:rsid w:val="5A0958C5"/>
    <w:rsid w:val="5A154809"/>
    <w:rsid w:val="5A4BD3F8"/>
    <w:rsid w:val="5A5F731B"/>
    <w:rsid w:val="5A6252CF"/>
    <w:rsid w:val="5AA64C9E"/>
    <w:rsid w:val="5B02CABB"/>
    <w:rsid w:val="5BE93F42"/>
    <w:rsid w:val="5CD43B4F"/>
    <w:rsid w:val="5CEE9ACB"/>
    <w:rsid w:val="5D7E4BBB"/>
    <w:rsid w:val="5D80C6ED"/>
    <w:rsid w:val="5DC06011"/>
    <w:rsid w:val="5E042A8F"/>
    <w:rsid w:val="5E8F1B9E"/>
    <w:rsid w:val="5FE77265"/>
    <w:rsid w:val="6091417B"/>
    <w:rsid w:val="6181AAE9"/>
    <w:rsid w:val="61AD33E9"/>
    <w:rsid w:val="61E2D2C8"/>
    <w:rsid w:val="624B08F8"/>
    <w:rsid w:val="624D76B0"/>
    <w:rsid w:val="62E10EDC"/>
    <w:rsid w:val="63C8DBA2"/>
    <w:rsid w:val="66D4F8B0"/>
    <w:rsid w:val="67296CC3"/>
    <w:rsid w:val="676337C4"/>
    <w:rsid w:val="6819937B"/>
    <w:rsid w:val="6819939E"/>
    <w:rsid w:val="68631871"/>
    <w:rsid w:val="68BEB8A3"/>
    <w:rsid w:val="68D73498"/>
    <w:rsid w:val="68F96FEE"/>
    <w:rsid w:val="690F0EFC"/>
    <w:rsid w:val="69146C0B"/>
    <w:rsid w:val="6A53E77C"/>
    <w:rsid w:val="6ACDDAA5"/>
    <w:rsid w:val="6AE2F466"/>
    <w:rsid w:val="6AF417DE"/>
    <w:rsid w:val="6BB2A4BA"/>
    <w:rsid w:val="6BCBCC6A"/>
    <w:rsid w:val="6C0FD41A"/>
    <w:rsid w:val="6D35741E"/>
    <w:rsid w:val="6E15471C"/>
    <w:rsid w:val="6E4905FB"/>
    <w:rsid w:val="6E55E65A"/>
    <w:rsid w:val="6E8FB011"/>
    <w:rsid w:val="6EAB2B5A"/>
    <w:rsid w:val="6EAE49FB"/>
    <w:rsid w:val="6ED01115"/>
    <w:rsid w:val="6F01FA01"/>
    <w:rsid w:val="6F37C168"/>
    <w:rsid w:val="6F6983AC"/>
    <w:rsid w:val="6FE7A414"/>
    <w:rsid w:val="7055933C"/>
    <w:rsid w:val="70B2724F"/>
    <w:rsid w:val="71724E5A"/>
    <w:rsid w:val="71DF6852"/>
    <w:rsid w:val="7205A225"/>
    <w:rsid w:val="7216DEA5"/>
    <w:rsid w:val="7217529A"/>
    <w:rsid w:val="721EE85F"/>
    <w:rsid w:val="7239A016"/>
    <w:rsid w:val="72BF75E2"/>
    <w:rsid w:val="72D90DD9"/>
    <w:rsid w:val="7329DD4E"/>
    <w:rsid w:val="735A835E"/>
    <w:rsid w:val="73D3EA9F"/>
    <w:rsid w:val="73DDDC78"/>
    <w:rsid w:val="74796A9A"/>
    <w:rsid w:val="747FA207"/>
    <w:rsid w:val="74F07C0C"/>
    <w:rsid w:val="7533B352"/>
    <w:rsid w:val="759578DB"/>
    <w:rsid w:val="760A2DF3"/>
    <w:rsid w:val="7619FDB1"/>
    <w:rsid w:val="76550444"/>
    <w:rsid w:val="78175D0B"/>
    <w:rsid w:val="781EF319"/>
    <w:rsid w:val="783B0366"/>
    <w:rsid w:val="787DB8E7"/>
    <w:rsid w:val="791381EC"/>
    <w:rsid w:val="7917D0E4"/>
    <w:rsid w:val="7936E35C"/>
    <w:rsid w:val="793DBE29"/>
    <w:rsid w:val="7991439E"/>
    <w:rsid w:val="79AF8ABA"/>
    <w:rsid w:val="79BD461D"/>
    <w:rsid w:val="7AA10183"/>
    <w:rsid w:val="7AEDD3DF"/>
    <w:rsid w:val="7B66D691"/>
    <w:rsid w:val="7BF02E16"/>
    <w:rsid w:val="7C93BF73"/>
    <w:rsid w:val="7D0B9A94"/>
    <w:rsid w:val="7D174FFE"/>
    <w:rsid w:val="7D21423D"/>
    <w:rsid w:val="7D638F10"/>
    <w:rsid w:val="7E33A643"/>
    <w:rsid w:val="7E426FA5"/>
    <w:rsid w:val="7E6A2F2C"/>
    <w:rsid w:val="7F074199"/>
    <w:rsid w:val="7FFC68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C4020"/>
  <w15:docId w15:val="{52EEFE7B-6111-4A54-935C-5973AEF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00" w:after="100" w:line="260" w:lineRule="atLeast"/>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716"/>
  </w:style>
  <w:style w:type="paragraph" w:styleId="Heading1">
    <w:name w:val="heading 1"/>
    <w:basedOn w:val="Normal"/>
    <w:next w:val="BodyText"/>
    <w:link w:val="Heading1Char"/>
    <w:qFormat/>
    <w:rsid w:val="00BD1D92"/>
    <w:pPr>
      <w:keepNext/>
      <w:keepLines/>
      <w:numPr>
        <w:numId w:val="7"/>
      </w:numPr>
      <w:spacing w:before="400" w:line="240" w:lineRule="auto"/>
      <w:outlineLvl w:val="0"/>
    </w:pPr>
    <w:rPr>
      <w:rFonts w:eastAsiaTheme="majorEastAsia" w:cstheme="majorBidi"/>
      <w:bCs/>
      <w:sz w:val="28"/>
      <w:szCs w:val="40"/>
    </w:rPr>
  </w:style>
  <w:style w:type="paragraph" w:styleId="Heading2">
    <w:name w:val="heading 2"/>
    <w:basedOn w:val="Normal"/>
    <w:link w:val="Heading2Char"/>
    <w:uiPriority w:val="9"/>
    <w:qFormat/>
    <w:rsid w:val="00BD1D92"/>
    <w:pPr>
      <w:keepNext/>
      <w:keepLines/>
      <w:numPr>
        <w:ilvl w:val="1"/>
        <w:numId w:val="7"/>
      </w:numPr>
      <w:outlineLvl w:val="1"/>
    </w:pPr>
    <w:rPr>
      <w:rFonts w:eastAsiaTheme="majorEastAsia" w:cstheme="majorBidi"/>
      <w:bCs/>
      <w:szCs w:val="26"/>
    </w:rPr>
  </w:style>
  <w:style w:type="paragraph" w:styleId="Heading3">
    <w:name w:val="heading 3"/>
    <w:basedOn w:val="Normal"/>
    <w:link w:val="Heading3Char"/>
    <w:qFormat/>
    <w:rsid w:val="00270016"/>
    <w:pPr>
      <w:keepNext/>
      <w:keepLines/>
      <w:numPr>
        <w:ilvl w:val="2"/>
        <w:numId w:val="7"/>
      </w:numPr>
      <w:outlineLvl w:val="2"/>
    </w:pPr>
    <w:rPr>
      <w:rFonts w:eastAsiaTheme="majorEastAsia" w:cstheme="majorBidi"/>
      <w:bCs/>
    </w:rPr>
  </w:style>
  <w:style w:type="paragraph" w:styleId="Heading4">
    <w:name w:val="heading 4"/>
    <w:basedOn w:val="Normal"/>
    <w:next w:val="BodyText"/>
    <w:link w:val="Heading4Char"/>
    <w:qFormat/>
    <w:rsid w:val="00270016"/>
    <w:pPr>
      <w:numPr>
        <w:ilvl w:val="3"/>
        <w:numId w:val="7"/>
      </w:numPr>
      <w:outlineLvl w:val="3"/>
    </w:pPr>
  </w:style>
  <w:style w:type="paragraph" w:styleId="Heading5">
    <w:name w:val="heading 5"/>
    <w:basedOn w:val="Normal"/>
    <w:next w:val="BodyText"/>
    <w:link w:val="Heading5Char"/>
    <w:qFormat/>
    <w:rsid w:val="00270016"/>
    <w:pPr>
      <w:numPr>
        <w:ilvl w:val="4"/>
        <w:numId w:val="7"/>
      </w:numPr>
      <w:outlineLvl w:val="4"/>
    </w:p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4"/>
      </w:numPr>
      <w:tabs>
        <w:tab w:val="right" w:pos="9639"/>
      </w:tabs>
      <w:spacing w:after="320" w:line="240" w:lineRule="auto"/>
      <w:outlineLvl w:val="7"/>
    </w:pPr>
    <w:rPr>
      <w:rFonts w:asciiTheme="majorHAnsi" w:eastAsiaTheme="majorEastAsia" w:hAnsiTheme="majorHAnsi" w:cs="Arial"/>
      <w:caps/>
      <w:color w:val="1E4371" w:themeColor="text2"/>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910A0"/>
  </w:style>
  <w:style w:type="character" w:customStyle="1" w:styleId="BodyTextChar">
    <w:name w:val="Body Text Char"/>
    <w:basedOn w:val="DefaultParagraphFont"/>
    <w:link w:val="BodyText"/>
    <w:rsid w:val="001910A0"/>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BD1D92"/>
    <w:pPr>
      <w:tabs>
        <w:tab w:val="left" w:pos="2268"/>
        <w:tab w:val="left" w:pos="2835"/>
        <w:tab w:val="left" w:pos="3402"/>
        <w:tab w:val="left" w:pos="3969"/>
      </w:tabs>
      <w:spacing w:before="0" w:after="0" w:line="192" w:lineRule="exact"/>
    </w:pPr>
    <w:rPr>
      <w:sz w:val="16"/>
    </w:rPr>
  </w:style>
  <w:style w:type="character" w:customStyle="1" w:styleId="FooterChar">
    <w:name w:val="Footer Char"/>
    <w:basedOn w:val="DefaultParagraphFont"/>
    <w:link w:val="Footer"/>
    <w:uiPriority w:val="99"/>
    <w:rsid w:val="00BD1D92"/>
    <w:rPr>
      <w:sz w:val="16"/>
    </w:rPr>
  </w:style>
  <w:style w:type="numbering" w:customStyle="1" w:styleId="HangingList">
    <w:name w:val="HangingList"/>
    <w:uiPriority w:val="99"/>
    <w:rsid w:val="0058629F"/>
    <w:pPr>
      <w:numPr>
        <w:numId w:val="3"/>
      </w:numPr>
    </w:pPr>
  </w:style>
  <w:style w:type="paragraph" w:styleId="Header">
    <w:name w:val="header"/>
    <w:basedOn w:val="Normal"/>
    <w:link w:val="HeaderChar"/>
    <w:uiPriority w:val="99"/>
    <w:rsid w:val="003B7771"/>
    <w:pPr>
      <w:tabs>
        <w:tab w:val="left" w:pos="1860"/>
        <w:tab w:val="left" w:pos="2730"/>
      </w:tabs>
      <w:spacing w:before="0" w:after="0" w:line="240" w:lineRule="auto"/>
    </w:pPr>
    <w:rPr>
      <w:spacing w:val="2"/>
      <w:sz w:val="16"/>
    </w:rPr>
  </w:style>
  <w:style w:type="character" w:customStyle="1" w:styleId="HeaderChar">
    <w:name w:val="Header Char"/>
    <w:basedOn w:val="DefaultParagraphFont"/>
    <w:link w:val="Header"/>
    <w:uiPriority w:val="99"/>
    <w:rsid w:val="003B7771"/>
    <w:rPr>
      <w:spacing w:val="2"/>
      <w:sz w:val="16"/>
    </w:rPr>
  </w:style>
  <w:style w:type="character" w:customStyle="1" w:styleId="Heading1Char">
    <w:name w:val="Heading 1 Char"/>
    <w:basedOn w:val="DefaultParagraphFont"/>
    <w:link w:val="Heading1"/>
    <w:rsid w:val="00BD1D92"/>
    <w:rPr>
      <w:rFonts w:eastAsiaTheme="majorEastAsia" w:cstheme="majorBidi"/>
      <w:bCs/>
      <w:sz w:val="28"/>
      <w:szCs w:val="40"/>
    </w:rPr>
  </w:style>
  <w:style w:type="character" w:customStyle="1" w:styleId="Heading2Char">
    <w:name w:val="Heading 2 Char"/>
    <w:basedOn w:val="DefaultParagraphFont"/>
    <w:link w:val="Heading2"/>
    <w:uiPriority w:val="9"/>
    <w:rsid w:val="00BD1D92"/>
    <w:rPr>
      <w:rFonts w:eastAsiaTheme="majorEastAsia" w:cstheme="majorBidi"/>
      <w:bCs/>
      <w:szCs w:val="26"/>
    </w:rPr>
  </w:style>
  <w:style w:type="character" w:customStyle="1" w:styleId="Heading3Char">
    <w:name w:val="Heading 3 Char"/>
    <w:basedOn w:val="DefaultParagraphFont"/>
    <w:link w:val="Heading3"/>
    <w:rsid w:val="00270016"/>
    <w:rPr>
      <w:rFonts w:eastAsiaTheme="majorEastAsia" w:cstheme="majorBidi"/>
      <w:bCs/>
    </w:rPr>
  </w:style>
  <w:style w:type="character" w:customStyle="1" w:styleId="Heading4Char">
    <w:name w:val="Heading 4 Char"/>
    <w:basedOn w:val="DefaultParagraphFont"/>
    <w:link w:val="Heading4"/>
    <w:rsid w:val="00270016"/>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color w:val="1E4371" w:themeColor="text2"/>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000FF"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801B89"/>
    <w:pPr>
      <w:numPr>
        <w:numId w:val="8"/>
      </w:numPr>
      <w:spacing w:before="0" w:after="0"/>
    </w:pPr>
  </w:style>
  <w:style w:type="paragraph" w:styleId="ListBullet2">
    <w:name w:val="List Bullet 2"/>
    <w:basedOn w:val="ListBullet"/>
    <w:qFormat/>
    <w:rsid w:val="00156BC1"/>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Normal"/>
    <w:semiHidden/>
    <w:qFormat/>
    <w:rsid w:val="00540AA0"/>
    <w:pPr>
      <w:ind w:left="567"/>
    </w:pPr>
  </w:style>
  <w:style w:type="paragraph" w:styleId="ListNumber">
    <w:name w:val="List Number"/>
    <w:basedOn w:val="BodyText"/>
    <w:qFormat/>
    <w:rsid w:val="00801B89"/>
    <w:pPr>
      <w:numPr>
        <w:numId w:val="9"/>
      </w:numPr>
      <w:spacing w:before="0" w:after="0"/>
    </w:pPr>
  </w:style>
  <w:style w:type="paragraph" w:styleId="ListNumber2">
    <w:name w:val="List Number 2"/>
    <w:basedOn w:val="ListNumber"/>
    <w:qFormat/>
    <w:rsid w:val="0058629F"/>
    <w:pPr>
      <w:numPr>
        <w:ilvl w:val="1"/>
      </w:numPr>
    </w:pPr>
  </w:style>
  <w:style w:type="paragraph" w:styleId="ListNumber3">
    <w:name w:val="List Number 3"/>
    <w:basedOn w:val="ListNumber2"/>
    <w:qFormat/>
    <w:rsid w:val="0058629F"/>
    <w:pPr>
      <w:numPr>
        <w:ilvl w:val="2"/>
      </w:numPr>
    </w:pPr>
  </w:style>
  <w:style w:type="character" w:styleId="PlaceholderText">
    <w:name w:val="Placeholder Text"/>
    <w:basedOn w:val="DefaultParagraphFont"/>
    <w:uiPriority w:val="99"/>
    <w:rsid w:val="0058629F"/>
    <w:rPr>
      <w:color w:val="808080"/>
    </w:rPr>
  </w:style>
  <w:style w:type="paragraph" w:styleId="Title">
    <w:name w:val="Title"/>
    <w:basedOn w:val="Normal"/>
    <w:link w:val="TitleChar"/>
    <w:uiPriority w:val="9"/>
    <w:rsid w:val="00DA4AC9"/>
    <w:pPr>
      <w:framePr w:w="7847" w:hSpace="17010" w:vSpace="289" w:wrap="around" w:vAnchor="page" w:hAnchor="page" w:x="426" w:y="426"/>
      <w:spacing w:before="0" w:after="0" w:line="1080" w:lineRule="exact"/>
      <w:contextualSpacing/>
    </w:pPr>
    <w:rPr>
      <w:rFonts w:asciiTheme="majorHAnsi" w:hAnsiTheme="majorHAnsi"/>
      <w:color w:val="FF9DCE" w:themeColor="accent4"/>
      <w:sz w:val="102"/>
    </w:rPr>
  </w:style>
  <w:style w:type="character" w:customStyle="1" w:styleId="TitleChar">
    <w:name w:val="Title Char"/>
    <w:basedOn w:val="DefaultParagraphFont"/>
    <w:link w:val="Title"/>
    <w:uiPriority w:val="9"/>
    <w:rsid w:val="00DA4AC9"/>
    <w:rPr>
      <w:rFonts w:asciiTheme="majorHAnsi" w:hAnsiTheme="majorHAnsi"/>
      <w:color w:val="FF9DCE" w:themeColor="accent4"/>
      <w:sz w:val="102"/>
    </w:rPr>
  </w:style>
  <w:style w:type="paragraph" w:styleId="Subtitle">
    <w:name w:val="Subtitle"/>
    <w:basedOn w:val="Title"/>
    <w:link w:val="SubtitleChar"/>
    <w:uiPriority w:val="10"/>
    <w:rsid w:val="005C3F10"/>
    <w:pPr>
      <w:framePr w:wrap="around"/>
      <w:spacing w:before="20" w:line="540" w:lineRule="exact"/>
      <w:ind w:left="28"/>
    </w:pPr>
    <w:rPr>
      <w:color w:val="FFFFFF" w:themeColor="background1"/>
      <w:sz w:val="40"/>
    </w:rPr>
  </w:style>
  <w:style w:type="paragraph" w:styleId="TOC5">
    <w:name w:val="toc 5"/>
    <w:basedOn w:val="Normal"/>
    <w:next w:val="Normal"/>
    <w:autoRedefine/>
    <w:semiHidden/>
    <w:rsid w:val="0058629F"/>
    <w:pPr>
      <w:ind w:left="720"/>
    </w:pPr>
  </w:style>
  <w:style w:type="paragraph" w:styleId="TOC6">
    <w:name w:val="toc 6"/>
    <w:basedOn w:val="Normal"/>
    <w:next w:val="Normal"/>
    <w:autoRedefine/>
    <w:semiHidden/>
    <w:rsid w:val="0058629F"/>
    <w:pPr>
      <w:ind w:left="900"/>
    </w:pPr>
  </w:style>
  <w:style w:type="paragraph" w:styleId="TOC7">
    <w:name w:val="toc 7"/>
    <w:basedOn w:val="Normal"/>
    <w:next w:val="Normal"/>
    <w:autoRedefine/>
    <w:semiHidden/>
    <w:rsid w:val="0058629F"/>
    <w:pPr>
      <w:ind w:left="1080"/>
    </w:pPr>
  </w:style>
  <w:style w:type="paragraph" w:styleId="TOC8">
    <w:name w:val="toc 8"/>
    <w:basedOn w:val="Normal"/>
    <w:next w:val="Normal"/>
    <w:autoRedefine/>
    <w:semiHidden/>
    <w:rsid w:val="0058629F"/>
    <w:pPr>
      <w:ind w:left="1260"/>
    </w:pPr>
  </w:style>
  <w:style w:type="character" w:customStyle="1" w:styleId="SubtitleChar">
    <w:name w:val="Subtitle Char"/>
    <w:basedOn w:val="DefaultParagraphFont"/>
    <w:link w:val="Subtitle"/>
    <w:uiPriority w:val="10"/>
    <w:rsid w:val="005C3F10"/>
    <w:rPr>
      <w:rFonts w:asciiTheme="majorHAnsi" w:hAnsiTheme="majorHAnsi"/>
      <w:color w:val="FFFFFF" w:themeColor="background1"/>
      <w:sz w:val="40"/>
    </w:rPr>
  </w:style>
  <w:style w:type="paragraph" w:styleId="ListContinue2">
    <w:name w:val="List Continue 2"/>
    <w:basedOn w:val="Normal"/>
    <w:semiHidden/>
    <w:qFormat/>
    <w:rsid w:val="00540AA0"/>
    <w:pPr>
      <w:ind w:left="1134"/>
    </w:pPr>
  </w:style>
  <w:style w:type="paragraph" w:styleId="ListContinue3">
    <w:name w:val="List Continue 3"/>
    <w:basedOn w:val="Normal"/>
    <w:semiHidden/>
    <w:qFormat/>
    <w:rsid w:val="00540AA0"/>
    <w:pPr>
      <w:ind w:left="1701"/>
    </w:pPr>
  </w:style>
  <w:style w:type="paragraph" w:styleId="NoSpacing">
    <w:name w:val="No Spacing"/>
    <w:basedOn w:val="Normal"/>
    <w:link w:val="NoSpacingChar"/>
    <w:uiPriority w:val="1"/>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rsid w:val="00270016"/>
  </w:style>
  <w:style w:type="character" w:customStyle="1" w:styleId="Heading6Char">
    <w:name w:val="Heading 6 Char"/>
    <w:basedOn w:val="DefaultParagraphFont"/>
    <w:link w:val="Heading6"/>
    <w:semiHidden/>
    <w:rsid w:val="00DB4DFF"/>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pPr>
      <w:spacing w:line="240" w:lineRule="auto"/>
    </w:pPr>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8"/>
    <w:unhideWhenUsed/>
    <w:rsid w:val="004A3916"/>
    <w:pPr>
      <w:tabs>
        <w:tab w:val="left" w:pos="8835"/>
      </w:tabs>
      <w:spacing w:before="160" w:after="1440"/>
    </w:pPr>
    <w:rPr>
      <w:rFonts w:asciiTheme="majorHAnsi" w:hAnsiTheme="majorHAnsi"/>
      <w:sz w:val="72"/>
    </w:rPr>
  </w:style>
  <w:style w:type="paragraph" w:styleId="TOC1">
    <w:name w:val="toc 1"/>
    <w:basedOn w:val="Normal"/>
    <w:next w:val="Normal"/>
    <w:link w:val="TOC1Char"/>
    <w:autoRedefine/>
    <w:uiPriority w:val="39"/>
    <w:rsid w:val="00402A2C"/>
    <w:pPr>
      <w:pBdr>
        <w:between w:val="single" w:sz="4" w:space="1" w:color="1E4371" w:themeColor="text2"/>
      </w:pBdr>
      <w:tabs>
        <w:tab w:val="left" w:pos="1077"/>
        <w:tab w:val="right" w:pos="9639"/>
      </w:tabs>
      <w:spacing w:before="160" w:after="80"/>
      <w:ind w:left="1077" w:right="-57" w:hanging="1077"/>
    </w:pPr>
    <w:rPr>
      <w:rFonts w:asciiTheme="majorHAnsi" w:hAnsiTheme="majorHAnsi"/>
      <w:bCs/>
      <w:sz w:val="24"/>
    </w:rPr>
  </w:style>
  <w:style w:type="paragraph" w:styleId="TOC2">
    <w:name w:val="toc 2"/>
    <w:basedOn w:val="Normal"/>
    <w:next w:val="Normal"/>
    <w:autoRedefine/>
    <w:uiPriority w:val="39"/>
    <w:rsid w:val="00402A2C"/>
    <w:pPr>
      <w:pBdr>
        <w:bottom w:val="single" w:sz="4" w:space="7" w:color="auto"/>
      </w:pBdr>
      <w:tabs>
        <w:tab w:val="left" w:pos="1077"/>
        <w:tab w:val="right" w:pos="9639"/>
      </w:tabs>
      <w:spacing w:before="140" w:after="80"/>
      <w:ind w:left="1077" w:right="-57" w:hanging="1077"/>
    </w:pPr>
    <w:rPr>
      <w:rFonts w:eastAsiaTheme="minorEastAsia" w:cstheme="minorBidi"/>
      <w:noProof/>
      <w:sz w:val="24"/>
    </w:r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801B89"/>
    <w:pPr>
      <w:keepNext/>
      <w:tabs>
        <w:tab w:val="left" w:pos="851"/>
      </w:tabs>
      <w:spacing w:before="240"/>
      <w:ind w:left="851" w:hanging="851"/>
    </w:pPr>
    <w:rPr>
      <w:rFonts w:asciiTheme="majorHAnsi" w:hAnsiTheme="majorHAnsi"/>
      <w:iCs/>
    </w:rPr>
  </w:style>
  <w:style w:type="paragraph" w:styleId="FootnoteText">
    <w:name w:val="footnote text"/>
    <w:basedOn w:val="Normal"/>
    <w:link w:val="FootnoteTextChar"/>
    <w:rsid w:val="004F0638"/>
    <w:pPr>
      <w:spacing w:before="0" w:after="0" w:line="240" w:lineRule="auto"/>
    </w:pPr>
    <w:rPr>
      <w:sz w:val="16"/>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F5E1" w:themeFill="accent1" w:themeFillTint="33"/>
    </w:tcPr>
    <w:tblStylePr w:type="firstRow">
      <w:rPr>
        <w:b/>
        <w:bCs/>
      </w:rPr>
      <w:tblPr/>
      <w:tcPr>
        <w:shd w:val="clear" w:color="auto" w:fill="D6EBC4" w:themeFill="accent1" w:themeFillTint="66"/>
      </w:tcPr>
    </w:tblStylePr>
    <w:tblStylePr w:type="lastRow">
      <w:rPr>
        <w:b/>
        <w:bCs/>
        <w:color w:val="000000" w:themeColor="text1"/>
      </w:rPr>
      <w:tblPr/>
      <w:tcPr>
        <w:shd w:val="clear" w:color="auto" w:fill="D6EBC4" w:themeFill="accent1" w:themeFillTint="66"/>
      </w:tcPr>
    </w:tblStylePr>
    <w:tblStylePr w:type="firstCol">
      <w:rPr>
        <w:color w:val="FFFFFF" w:themeColor="background1"/>
      </w:rPr>
      <w:tblPr/>
      <w:tcPr>
        <w:shd w:val="clear" w:color="auto" w:fill="71B03B" w:themeFill="accent1" w:themeFillShade="BF"/>
      </w:tcPr>
    </w:tblStylePr>
    <w:tblStylePr w:type="lastCol">
      <w:rPr>
        <w:color w:val="FFFFFF" w:themeColor="background1"/>
      </w:rPr>
      <w:tblPr/>
      <w:tcPr>
        <w:shd w:val="clear" w:color="auto" w:fill="71B03B" w:themeFill="accent1" w:themeFillShade="BF"/>
      </w:tcPr>
    </w:tblStylePr>
    <w:tblStylePr w:type="band1Vert">
      <w:tblPr/>
      <w:tcPr>
        <w:shd w:val="clear" w:color="auto" w:fill="CCE6B6" w:themeFill="accent1" w:themeFillTint="7F"/>
      </w:tcPr>
    </w:tblStylePr>
    <w:tblStylePr w:type="band1Horz">
      <w:tblPr/>
      <w:tcPr>
        <w:shd w:val="clear" w:color="auto" w:fill="CCE6B6"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CEB" w:themeFill="accent2" w:themeFillTint="33"/>
    </w:tcPr>
    <w:tblStylePr w:type="firstRow">
      <w:rPr>
        <w:b/>
        <w:bCs/>
      </w:rPr>
      <w:tblPr/>
      <w:tcPr>
        <w:shd w:val="clear" w:color="auto" w:fill="FFDBD8" w:themeFill="accent2" w:themeFillTint="66"/>
      </w:tcPr>
    </w:tblStylePr>
    <w:tblStylePr w:type="lastRow">
      <w:rPr>
        <w:b/>
        <w:bCs/>
        <w:color w:val="000000" w:themeColor="text1"/>
      </w:rPr>
      <w:tblPr/>
      <w:tcPr>
        <w:shd w:val="clear" w:color="auto" w:fill="FFDBD8" w:themeFill="accent2" w:themeFillTint="66"/>
      </w:tcPr>
    </w:tblStylePr>
    <w:tblStylePr w:type="firstCol">
      <w:rPr>
        <w:color w:val="FFFFFF" w:themeColor="background1"/>
      </w:rPr>
      <w:tblPr/>
      <w:tcPr>
        <w:shd w:val="clear" w:color="auto" w:fill="FF4636" w:themeFill="accent2" w:themeFillShade="BF"/>
      </w:tcPr>
    </w:tblStylePr>
    <w:tblStylePr w:type="lastCol">
      <w:rPr>
        <w:color w:val="FFFFFF" w:themeColor="background1"/>
      </w:rPr>
      <w:tblPr/>
      <w:tcPr>
        <w:shd w:val="clear" w:color="auto" w:fill="FF4636" w:themeFill="accent2" w:themeFillShade="BF"/>
      </w:tcPr>
    </w:tblStylePr>
    <w:tblStylePr w:type="band1Vert">
      <w:tblPr/>
      <w:tcPr>
        <w:shd w:val="clear" w:color="auto" w:fill="FFD2CE" w:themeFill="accent2" w:themeFillTint="7F"/>
      </w:tcPr>
    </w:tblStylePr>
    <w:tblStylePr w:type="band1Horz">
      <w:tblPr/>
      <w:tcPr>
        <w:shd w:val="clear" w:color="auto" w:fill="FFD2CE"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F3DD" w:themeFill="accent3" w:themeFillTint="33"/>
    </w:tcPr>
    <w:tblStylePr w:type="firstRow">
      <w:rPr>
        <w:b/>
        <w:bCs/>
      </w:rPr>
      <w:tblPr/>
      <w:tcPr>
        <w:shd w:val="clear" w:color="auto" w:fill="FFE8BC" w:themeFill="accent3" w:themeFillTint="66"/>
      </w:tcPr>
    </w:tblStylePr>
    <w:tblStylePr w:type="lastRow">
      <w:rPr>
        <w:b/>
        <w:bCs/>
        <w:color w:val="000000" w:themeColor="text1"/>
      </w:rPr>
      <w:tblPr/>
      <w:tcPr>
        <w:shd w:val="clear" w:color="auto" w:fill="FFE8BC" w:themeFill="accent3" w:themeFillTint="66"/>
      </w:tcPr>
    </w:tblStylePr>
    <w:tblStylePr w:type="firstCol">
      <w:rPr>
        <w:color w:val="FFFFFF" w:themeColor="background1"/>
      </w:rPr>
      <w:tblPr/>
      <w:tcPr>
        <w:shd w:val="clear" w:color="auto" w:fill="FFA802" w:themeFill="accent3" w:themeFillShade="BF"/>
      </w:tcPr>
    </w:tblStylePr>
    <w:tblStylePr w:type="lastCol">
      <w:rPr>
        <w:color w:val="FFFFFF" w:themeColor="background1"/>
      </w:rPr>
      <w:tblPr/>
      <w:tcPr>
        <w:shd w:val="clear" w:color="auto" w:fill="FFA802" w:themeFill="accent3" w:themeFillShade="BF"/>
      </w:tcPr>
    </w:tblStylePr>
    <w:tblStylePr w:type="band1Vert">
      <w:tblPr/>
      <w:tcPr>
        <w:shd w:val="clear" w:color="auto" w:fill="FFE2AC" w:themeFill="accent3" w:themeFillTint="7F"/>
      </w:tcPr>
    </w:tblStylePr>
    <w:tblStylePr w:type="band1Horz">
      <w:tblPr/>
      <w:tcPr>
        <w:shd w:val="clear" w:color="auto" w:fill="FFE2AC"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BF5" w:themeFill="accent4" w:themeFillTint="33"/>
    </w:tcPr>
    <w:tblStylePr w:type="firstRow">
      <w:rPr>
        <w:b/>
        <w:bCs/>
      </w:rPr>
      <w:tblPr/>
      <w:tcPr>
        <w:shd w:val="clear" w:color="auto" w:fill="FFD7EB" w:themeFill="accent4" w:themeFillTint="66"/>
      </w:tcPr>
    </w:tblStylePr>
    <w:tblStylePr w:type="lastRow">
      <w:rPr>
        <w:b/>
        <w:bCs/>
        <w:color w:val="000000" w:themeColor="text1"/>
      </w:rPr>
      <w:tblPr/>
      <w:tcPr>
        <w:shd w:val="clear" w:color="auto" w:fill="FFD7EB" w:themeFill="accent4" w:themeFillTint="66"/>
      </w:tcPr>
    </w:tblStylePr>
    <w:tblStylePr w:type="firstCol">
      <w:rPr>
        <w:color w:val="FFFFFF" w:themeColor="background1"/>
      </w:rPr>
      <w:tblPr/>
      <w:tcPr>
        <w:shd w:val="clear" w:color="auto" w:fill="FF3599" w:themeFill="accent4" w:themeFillShade="BF"/>
      </w:tcPr>
    </w:tblStylePr>
    <w:tblStylePr w:type="lastCol">
      <w:rPr>
        <w:color w:val="FFFFFF" w:themeColor="background1"/>
      </w:rPr>
      <w:tblPr/>
      <w:tcPr>
        <w:shd w:val="clear" w:color="auto" w:fill="FF3599" w:themeFill="accent4" w:themeFillShade="BF"/>
      </w:tcPr>
    </w:tblStylePr>
    <w:tblStylePr w:type="band1Vert">
      <w:tblPr/>
      <w:tcPr>
        <w:shd w:val="clear" w:color="auto" w:fill="FFCEE6" w:themeFill="accent4" w:themeFillTint="7F"/>
      </w:tcPr>
    </w:tblStylePr>
    <w:tblStylePr w:type="band1Horz">
      <w:tblPr/>
      <w:tcPr>
        <w:shd w:val="clear" w:color="auto" w:fill="FFCEE6"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8EFFF" w:themeFill="accent5" w:themeFillTint="33"/>
    </w:tcPr>
    <w:tblStylePr w:type="firstRow">
      <w:rPr>
        <w:b/>
        <w:bCs/>
      </w:rPr>
      <w:tblPr/>
      <w:tcPr>
        <w:shd w:val="clear" w:color="auto" w:fill="D1E0FF" w:themeFill="accent5" w:themeFillTint="66"/>
      </w:tcPr>
    </w:tblStylePr>
    <w:tblStylePr w:type="lastRow">
      <w:rPr>
        <w:b/>
        <w:bCs/>
        <w:color w:val="000000" w:themeColor="text1"/>
      </w:rPr>
      <w:tblPr/>
      <w:tcPr>
        <w:shd w:val="clear" w:color="auto" w:fill="D1E0FF" w:themeFill="accent5" w:themeFillTint="66"/>
      </w:tcPr>
    </w:tblStylePr>
    <w:tblStylePr w:type="firstCol">
      <w:rPr>
        <w:color w:val="FFFFFF" w:themeColor="background1"/>
      </w:rPr>
      <w:tblPr/>
      <w:tcPr>
        <w:shd w:val="clear" w:color="auto" w:fill="2870FF" w:themeFill="accent5" w:themeFillShade="BF"/>
      </w:tcPr>
    </w:tblStylePr>
    <w:tblStylePr w:type="lastCol">
      <w:rPr>
        <w:color w:val="FFFFFF" w:themeColor="background1"/>
      </w:rPr>
      <w:tblPr/>
      <w:tcPr>
        <w:shd w:val="clear" w:color="auto" w:fill="2870FF" w:themeFill="accent5" w:themeFillShade="BF"/>
      </w:tcPr>
    </w:tblStylePr>
    <w:tblStylePr w:type="band1Vert">
      <w:tblPr/>
      <w:tcPr>
        <w:shd w:val="clear" w:color="auto" w:fill="C5D9FF" w:themeFill="accent5" w:themeFillTint="7F"/>
      </w:tcPr>
    </w:tblStylePr>
    <w:tblStylePr w:type="band1Horz">
      <w:tblPr/>
      <w:tcPr>
        <w:shd w:val="clear" w:color="auto" w:fill="C5D9FF"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8FAFF" w:themeFill="accent6" w:themeFillTint="33"/>
    </w:tcPr>
    <w:tblStylePr w:type="firstRow">
      <w:rPr>
        <w:b/>
        <w:bCs/>
      </w:rPr>
      <w:tblPr/>
      <w:tcPr>
        <w:shd w:val="clear" w:color="auto" w:fill="F1F5FF" w:themeFill="accent6" w:themeFillTint="66"/>
      </w:tcPr>
    </w:tblStylePr>
    <w:tblStylePr w:type="lastRow">
      <w:rPr>
        <w:b/>
        <w:bCs/>
        <w:color w:val="000000" w:themeColor="text1"/>
      </w:rPr>
      <w:tblPr/>
      <w:tcPr>
        <w:shd w:val="clear" w:color="auto" w:fill="F1F5FF" w:themeFill="accent6" w:themeFillTint="66"/>
      </w:tcPr>
    </w:tblStylePr>
    <w:tblStylePr w:type="firstCol">
      <w:rPr>
        <w:color w:val="FFFFFF" w:themeColor="background1"/>
      </w:rPr>
      <w:tblPr/>
      <w:tcPr>
        <w:shd w:val="clear" w:color="auto" w:fill="6596FF" w:themeFill="accent6" w:themeFillShade="BF"/>
      </w:tcPr>
    </w:tblStylePr>
    <w:tblStylePr w:type="lastCol">
      <w:rPr>
        <w:color w:val="FFFFFF" w:themeColor="background1"/>
      </w:rPr>
      <w:tblPr/>
      <w:tcPr>
        <w:shd w:val="clear" w:color="auto" w:fill="6596FF" w:themeFill="accent6" w:themeFillShade="BF"/>
      </w:tcPr>
    </w:tblStylePr>
    <w:tblStylePr w:type="band1Vert">
      <w:tblPr/>
      <w:tcPr>
        <w:shd w:val="clear" w:color="auto" w:fill="EEF3FF" w:themeFill="accent6" w:themeFillTint="7F"/>
      </w:tcPr>
    </w:tblStylePr>
    <w:tblStylePr w:type="band1Horz">
      <w:tblPr/>
      <w:tcPr>
        <w:shd w:val="clear" w:color="auto" w:fill="EEF3F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F4FAF0" w:themeFill="accent1"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3DB" w:themeFill="accent1" w:themeFillTint="3F"/>
      </w:tcPr>
    </w:tblStylePr>
    <w:tblStylePr w:type="band1Horz">
      <w:tblPr/>
      <w:tcPr>
        <w:shd w:val="clear" w:color="auto" w:fill="EAF5E1"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FF6F5" w:themeFill="accent2"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8E7" w:themeFill="accent2" w:themeFillTint="3F"/>
      </w:tcPr>
    </w:tblStylePr>
    <w:tblStylePr w:type="band1Horz">
      <w:tblPr/>
      <w:tcPr>
        <w:shd w:val="clear" w:color="auto" w:fill="FFECEB"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FF9EE" w:themeFill="accent3" w:themeFillTint="19"/>
    </w:tcPr>
    <w:tblStylePr w:type="firstRow">
      <w:rPr>
        <w:b/>
        <w:bCs/>
        <w:color w:val="FFFFFF" w:themeColor="background1"/>
      </w:rPr>
      <w:tblPr/>
      <w:tcPr>
        <w:tcBorders>
          <w:bottom w:val="single" w:sz="12" w:space="0" w:color="FFFFFF" w:themeColor="background1"/>
        </w:tcBorders>
        <w:shd w:val="clear" w:color="auto" w:fill="FF4AA4" w:themeFill="accent4" w:themeFillShade="CC"/>
      </w:tcPr>
    </w:tblStylePr>
    <w:tblStylePr w:type="lastRow">
      <w:rPr>
        <w:b/>
        <w:bCs/>
        <w:color w:val="FF4AA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D5" w:themeFill="accent3" w:themeFillTint="3F"/>
      </w:tcPr>
    </w:tblStylePr>
    <w:tblStylePr w:type="band1Horz">
      <w:tblPr/>
      <w:tcPr>
        <w:shd w:val="clear" w:color="auto" w:fill="FFF3DD"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FF5FA" w:themeFill="accent4" w:themeFillTint="19"/>
    </w:tcPr>
    <w:tblStylePr w:type="firstRow">
      <w:rPr>
        <w:b/>
        <w:bCs/>
        <w:color w:val="FFFFFF" w:themeColor="background1"/>
      </w:rPr>
      <w:tblPr/>
      <w:tcPr>
        <w:tcBorders>
          <w:bottom w:val="single" w:sz="12" w:space="0" w:color="FFFFFF" w:themeColor="background1"/>
        </w:tcBorders>
        <w:shd w:val="clear" w:color="auto" w:fill="FFAE14" w:themeFill="accent3" w:themeFillShade="CC"/>
      </w:tcPr>
    </w:tblStylePr>
    <w:tblStylePr w:type="lastRow">
      <w:rPr>
        <w:b/>
        <w:bCs/>
        <w:color w:val="FFAE1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6F2" w:themeFill="accent4" w:themeFillTint="3F"/>
      </w:tcPr>
    </w:tblStylePr>
    <w:tblStylePr w:type="band1Horz">
      <w:tblPr/>
      <w:tcPr>
        <w:shd w:val="clear" w:color="auto" w:fill="FFEBF5"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3F7FF" w:themeFill="accent5" w:themeFillTint="19"/>
    </w:tcPr>
    <w:tblStylePr w:type="firstRow">
      <w:rPr>
        <w:b/>
        <w:bCs/>
        <w:color w:val="FFFFFF" w:themeColor="background1"/>
      </w:rPr>
      <w:tblPr/>
      <w:tcPr>
        <w:tcBorders>
          <w:bottom w:val="single" w:sz="12" w:space="0" w:color="FFFFFF" w:themeColor="background1"/>
        </w:tcBorders>
        <w:shd w:val="clear" w:color="auto" w:fill="7DA7FF" w:themeFill="accent6" w:themeFillShade="CC"/>
      </w:tcPr>
    </w:tblStylePr>
    <w:tblStylePr w:type="lastRow">
      <w:rPr>
        <w:b/>
        <w:bCs/>
        <w:color w:val="7DA7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CFF" w:themeFill="accent5" w:themeFillTint="3F"/>
      </w:tcPr>
    </w:tblStylePr>
    <w:tblStylePr w:type="band1Horz">
      <w:tblPr/>
      <w:tcPr>
        <w:shd w:val="clear" w:color="auto" w:fill="E8EFFF"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BFCFF" w:themeFill="accent6" w:themeFillTint="19"/>
    </w:tcPr>
    <w:tblStylePr w:type="firstRow">
      <w:rPr>
        <w:b/>
        <w:bCs/>
        <w:color w:val="FFFFFF" w:themeColor="background1"/>
      </w:rPr>
      <w:tblPr/>
      <w:tcPr>
        <w:tcBorders>
          <w:bottom w:val="single" w:sz="12" w:space="0" w:color="FFFFFF" w:themeColor="background1"/>
        </w:tcBorders>
        <w:shd w:val="clear" w:color="auto" w:fill="3D7EFF" w:themeFill="accent5" w:themeFillShade="CC"/>
      </w:tcPr>
    </w:tblStylePr>
    <w:tblStylePr w:type="lastRow">
      <w:rPr>
        <w:b/>
        <w:bCs/>
        <w:color w:val="3D7EF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9FF" w:themeFill="accent6" w:themeFillTint="3F"/>
      </w:tcPr>
    </w:tblStylePr>
    <w:tblStylePr w:type="band1Horz">
      <w:tblPr/>
      <w:tcPr>
        <w:shd w:val="clear" w:color="auto" w:fill="F8FAFF"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9ACE6E" w:themeColor="accent1"/>
        <w:bottom w:val="single" w:sz="4" w:space="0" w:color="9ACE6E" w:themeColor="accent1"/>
        <w:right w:val="single" w:sz="4" w:space="0" w:color="9ACE6E" w:themeColor="accent1"/>
        <w:insideH w:val="single" w:sz="4" w:space="0" w:color="FFFFFF" w:themeColor="background1"/>
        <w:insideV w:val="single" w:sz="4" w:space="0" w:color="FFFFFF" w:themeColor="background1"/>
      </w:tblBorders>
    </w:tblPr>
    <w:tcPr>
      <w:shd w:val="clear" w:color="auto" w:fill="F4FAF0" w:themeFill="accent1"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8D2F" w:themeFill="accent1" w:themeFillShade="99"/>
      </w:tcPr>
    </w:tblStylePr>
    <w:tblStylePr w:type="firstCol">
      <w:rPr>
        <w:color w:val="FFFFFF" w:themeColor="background1"/>
      </w:rPr>
      <w:tblPr/>
      <w:tcPr>
        <w:tcBorders>
          <w:top w:val="nil"/>
          <w:left w:val="nil"/>
          <w:bottom w:val="nil"/>
          <w:right w:val="nil"/>
          <w:insideH w:val="single" w:sz="4" w:space="0" w:color="5A8D2F" w:themeColor="accent1" w:themeShade="99"/>
          <w:insideV w:val="nil"/>
        </w:tcBorders>
        <w:shd w:val="clear" w:color="auto" w:fill="5A8D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A8D2F" w:themeFill="accent1" w:themeFillShade="99"/>
      </w:tcPr>
    </w:tblStylePr>
    <w:tblStylePr w:type="band1Vert">
      <w:tblPr/>
      <w:tcPr>
        <w:shd w:val="clear" w:color="auto" w:fill="D6EBC4" w:themeFill="accent1" w:themeFillTint="66"/>
      </w:tcPr>
    </w:tblStylePr>
    <w:tblStylePr w:type="band1Horz">
      <w:tblPr/>
      <w:tcPr>
        <w:shd w:val="clear" w:color="auto" w:fill="CCE6B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FFA69E" w:themeColor="accent2"/>
        <w:bottom w:val="single" w:sz="4" w:space="0" w:color="FFA69E" w:themeColor="accent2"/>
        <w:right w:val="single" w:sz="4" w:space="0" w:color="FFA69E" w:themeColor="accent2"/>
        <w:insideH w:val="single" w:sz="4" w:space="0" w:color="FFFFFF" w:themeColor="background1"/>
        <w:insideV w:val="single" w:sz="4" w:space="0" w:color="FFFFFF" w:themeColor="background1"/>
      </w:tblBorders>
    </w:tblPr>
    <w:tcPr>
      <w:shd w:val="clear" w:color="auto" w:fill="FFF6F5" w:themeFill="accent2"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71400" w:themeFill="accent2" w:themeFillShade="99"/>
      </w:tcPr>
    </w:tblStylePr>
    <w:tblStylePr w:type="firstCol">
      <w:rPr>
        <w:color w:val="FFFFFF" w:themeColor="background1"/>
      </w:rPr>
      <w:tblPr/>
      <w:tcPr>
        <w:tcBorders>
          <w:top w:val="nil"/>
          <w:left w:val="nil"/>
          <w:bottom w:val="nil"/>
          <w:right w:val="nil"/>
          <w:insideH w:val="single" w:sz="4" w:space="0" w:color="F71400" w:themeColor="accent2" w:themeShade="99"/>
          <w:insideV w:val="nil"/>
        </w:tcBorders>
        <w:shd w:val="clear" w:color="auto" w:fill="F714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F71400" w:themeFill="accent2" w:themeFillShade="99"/>
      </w:tcPr>
    </w:tblStylePr>
    <w:tblStylePr w:type="band1Vert">
      <w:tblPr/>
      <w:tcPr>
        <w:shd w:val="clear" w:color="auto" w:fill="FFDBD8" w:themeFill="accent2" w:themeFillTint="66"/>
      </w:tcPr>
    </w:tblStylePr>
    <w:tblStylePr w:type="band1Horz">
      <w:tblPr/>
      <w:tcPr>
        <w:shd w:val="clear" w:color="auto" w:fill="FFD2C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F9DCE" w:themeColor="accent4"/>
        <w:left w:val="single" w:sz="4" w:space="0" w:color="FFC759" w:themeColor="accent3"/>
        <w:bottom w:val="single" w:sz="4" w:space="0" w:color="FFC759" w:themeColor="accent3"/>
        <w:right w:val="single" w:sz="4" w:space="0" w:color="FFC759" w:themeColor="accent3"/>
        <w:insideH w:val="single" w:sz="4" w:space="0" w:color="FFFFFF" w:themeColor="background1"/>
        <w:insideV w:val="single" w:sz="4" w:space="0" w:color="FFFFFF" w:themeColor="background1"/>
      </w:tblBorders>
    </w:tblPr>
    <w:tcPr>
      <w:shd w:val="clear" w:color="auto" w:fill="FFF9EE" w:themeFill="accent3" w:themeFillTint="19"/>
    </w:tcPr>
    <w:tblStylePr w:type="firstRow">
      <w:rPr>
        <w:b/>
        <w:bCs/>
      </w:rPr>
      <w:tblPr/>
      <w:tcPr>
        <w:tcBorders>
          <w:top w:val="nil"/>
          <w:left w:val="nil"/>
          <w:bottom w:val="single" w:sz="24" w:space="0" w:color="FF9DC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E8700" w:themeFill="accent3" w:themeFillShade="99"/>
      </w:tcPr>
    </w:tblStylePr>
    <w:tblStylePr w:type="firstCol">
      <w:rPr>
        <w:color w:val="FFFFFF" w:themeColor="background1"/>
      </w:rPr>
      <w:tblPr/>
      <w:tcPr>
        <w:tcBorders>
          <w:top w:val="nil"/>
          <w:left w:val="nil"/>
          <w:bottom w:val="nil"/>
          <w:right w:val="nil"/>
          <w:insideH w:val="single" w:sz="4" w:space="0" w:color="CE8700" w:themeColor="accent3" w:themeShade="99"/>
          <w:insideV w:val="nil"/>
        </w:tcBorders>
        <w:shd w:val="clear" w:color="auto" w:fill="CE87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E8700" w:themeFill="accent3" w:themeFillShade="99"/>
      </w:tcPr>
    </w:tblStylePr>
    <w:tblStylePr w:type="band1Vert">
      <w:tblPr/>
      <w:tcPr>
        <w:shd w:val="clear" w:color="auto" w:fill="FFE8BC" w:themeFill="accent3" w:themeFillTint="66"/>
      </w:tcPr>
    </w:tblStylePr>
    <w:tblStylePr w:type="band1Horz">
      <w:tblPr/>
      <w:tcPr>
        <w:shd w:val="clear" w:color="auto" w:fill="FFE2AC"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FFC759" w:themeColor="accent3"/>
        <w:left w:val="single" w:sz="4" w:space="0" w:color="FF9DCE" w:themeColor="accent4"/>
        <w:bottom w:val="single" w:sz="4" w:space="0" w:color="FF9DCE" w:themeColor="accent4"/>
        <w:right w:val="single" w:sz="4" w:space="0" w:color="FF9DCE" w:themeColor="accent4"/>
        <w:insideH w:val="single" w:sz="4" w:space="0" w:color="FFFFFF" w:themeColor="background1"/>
        <w:insideV w:val="single" w:sz="4" w:space="0" w:color="FFFFFF" w:themeColor="background1"/>
      </w:tblBorders>
    </w:tblPr>
    <w:tcPr>
      <w:shd w:val="clear" w:color="auto" w:fill="FFF5FA" w:themeFill="accent4" w:themeFillTint="19"/>
    </w:tcPr>
    <w:tblStylePr w:type="firstRow">
      <w:rPr>
        <w:b/>
        <w:bCs/>
      </w:rPr>
      <w:tblPr/>
      <w:tcPr>
        <w:tcBorders>
          <w:top w:val="nil"/>
          <w:left w:val="nil"/>
          <w:bottom w:val="single" w:sz="24" w:space="0" w:color="FFC7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7007B" w:themeFill="accent4" w:themeFillShade="99"/>
      </w:tcPr>
    </w:tblStylePr>
    <w:tblStylePr w:type="firstCol">
      <w:rPr>
        <w:color w:val="FFFFFF" w:themeColor="background1"/>
      </w:rPr>
      <w:tblPr/>
      <w:tcPr>
        <w:tcBorders>
          <w:top w:val="nil"/>
          <w:left w:val="nil"/>
          <w:bottom w:val="nil"/>
          <w:right w:val="nil"/>
          <w:insideH w:val="single" w:sz="4" w:space="0" w:color="F7007B" w:themeColor="accent4" w:themeShade="99"/>
          <w:insideV w:val="nil"/>
        </w:tcBorders>
        <w:shd w:val="clear" w:color="auto" w:fill="F7007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7007B" w:themeFill="accent4" w:themeFillShade="99"/>
      </w:tcPr>
    </w:tblStylePr>
    <w:tblStylePr w:type="band1Vert">
      <w:tblPr/>
      <w:tcPr>
        <w:shd w:val="clear" w:color="auto" w:fill="FFD7EB" w:themeFill="accent4" w:themeFillTint="66"/>
      </w:tcPr>
    </w:tblStylePr>
    <w:tblStylePr w:type="band1Horz">
      <w:tblPr/>
      <w:tcPr>
        <w:shd w:val="clear" w:color="auto" w:fill="FFCEE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DDE8FF" w:themeColor="accent6"/>
        <w:left w:val="single" w:sz="4" w:space="0" w:color="8CB3FF" w:themeColor="accent5"/>
        <w:bottom w:val="single" w:sz="4" w:space="0" w:color="8CB3FF" w:themeColor="accent5"/>
        <w:right w:val="single" w:sz="4" w:space="0" w:color="8CB3FF" w:themeColor="accent5"/>
        <w:insideH w:val="single" w:sz="4" w:space="0" w:color="FFFFFF" w:themeColor="background1"/>
        <w:insideV w:val="single" w:sz="4" w:space="0" w:color="FFFFFF" w:themeColor="background1"/>
      </w:tblBorders>
    </w:tblPr>
    <w:tcPr>
      <w:shd w:val="clear" w:color="auto" w:fill="F3F7FF" w:themeFill="accent5" w:themeFillTint="19"/>
    </w:tcPr>
    <w:tblStylePr w:type="firstRow">
      <w:rPr>
        <w:b/>
        <w:bCs/>
      </w:rPr>
      <w:tblPr/>
      <w:tcPr>
        <w:tcBorders>
          <w:top w:val="nil"/>
          <w:left w:val="nil"/>
          <w:bottom w:val="single" w:sz="24" w:space="0" w:color="DDE8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ED" w:themeFill="accent5" w:themeFillShade="99"/>
      </w:tcPr>
    </w:tblStylePr>
    <w:tblStylePr w:type="firstCol">
      <w:rPr>
        <w:color w:val="FFFFFF" w:themeColor="background1"/>
      </w:rPr>
      <w:tblPr/>
      <w:tcPr>
        <w:tcBorders>
          <w:top w:val="nil"/>
          <w:left w:val="nil"/>
          <w:bottom w:val="nil"/>
          <w:right w:val="nil"/>
          <w:insideH w:val="single" w:sz="4" w:space="0" w:color="004FED" w:themeColor="accent5" w:themeShade="99"/>
          <w:insideV w:val="nil"/>
        </w:tcBorders>
        <w:shd w:val="clear" w:color="auto" w:fill="004FE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4FED" w:themeFill="accent5" w:themeFillShade="99"/>
      </w:tcPr>
    </w:tblStylePr>
    <w:tblStylePr w:type="band1Vert">
      <w:tblPr/>
      <w:tcPr>
        <w:shd w:val="clear" w:color="auto" w:fill="D1E0FF" w:themeFill="accent5" w:themeFillTint="66"/>
      </w:tcPr>
    </w:tblStylePr>
    <w:tblStylePr w:type="band1Horz">
      <w:tblPr/>
      <w:tcPr>
        <w:shd w:val="clear" w:color="auto" w:fill="C5D9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8CB3FF" w:themeColor="accent5"/>
        <w:left w:val="single" w:sz="4" w:space="0" w:color="DDE8FF" w:themeColor="accent6"/>
        <w:bottom w:val="single" w:sz="4" w:space="0" w:color="DDE8FF" w:themeColor="accent6"/>
        <w:right w:val="single" w:sz="4" w:space="0" w:color="DDE8FF" w:themeColor="accent6"/>
        <w:insideH w:val="single" w:sz="4" w:space="0" w:color="FFFFFF" w:themeColor="background1"/>
        <w:insideV w:val="single" w:sz="4" w:space="0" w:color="FFFFFF" w:themeColor="background1"/>
      </w:tblBorders>
    </w:tblPr>
    <w:tcPr>
      <w:shd w:val="clear" w:color="auto" w:fill="FBFCFF" w:themeFill="accent6" w:themeFillTint="19"/>
    </w:tcPr>
    <w:tblStylePr w:type="firstRow">
      <w:rPr>
        <w:b/>
        <w:bCs/>
      </w:rPr>
      <w:tblPr/>
      <w:tcPr>
        <w:tcBorders>
          <w:top w:val="nil"/>
          <w:left w:val="nil"/>
          <w:bottom w:val="single" w:sz="24" w:space="0" w:color="8CB3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6FF" w:themeFill="accent6" w:themeFillShade="99"/>
      </w:tcPr>
    </w:tblStylePr>
    <w:tblStylePr w:type="firstCol">
      <w:rPr>
        <w:color w:val="FFFFFF" w:themeColor="background1"/>
      </w:rPr>
      <w:tblPr/>
      <w:tcPr>
        <w:tcBorders>
          <w:top w:val="nil"/>
          <w:left w:val="nil"/>
          <w:bottom w:val="nil"/>
          <w:right w:val="nil"/>
          <w:insideH w:val="single" w:sz="4" w:space="0" w:color="1E66FF" w:themeColor="accent6" w:themeShade="99"/>
          <w:insideV w:val="nil"/>
        </w:tcBorders>
        <w:shd w:val="clear" w:color="auto" w:fill="1E66F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E66FF" w:themeFill="accent6" w:themeFillShade="99"/>
      </w:tcPr>
    </w:tblStylePr>
    <w:tblStylePr w:type="band1Vert">
      <w:tblPr/>
      <w:tcPr>
        <w:shd w:val="clear" w:color="auto" w:fill="F1F5FF" w:themeFill="accent6" w:themeFillTint="66"/>
      </w:tcPr>
    </w:tblStylePr>
    <w:tblStylePr w:type="band1Horz">
      <w:tblPr/>
      <w:tcPr>
        <w:shd w:val="clear" w:color="auto" w:fill="EEF3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9ACE6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75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1B0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1B03B" w:themeFill="accent1" w:themeFillShade="BF"/>
      </w:tcPr>
    </w:tblStylePr>
    <w:tblStylePr w:type="band1Vert">
      <w:tblPr/>
      <w:tcPr>
        <w:tcBorders>
          <w:top w:val="nil"/>
          <w:left w:val="nil"/>
          <w:bottom w:val="nil"/>
          <w:right w:val="nil"/>
          <w:insideH w:val="nil"/>
          <w:insideV w:val="nil"/>
        </w:tcBorders>
        <w:shd w:val="clear" w:color="auto" w:fill="71B03B" w:themeFill="accent1" w:themeFillShade="BF"/>
      </w:tcPr>
    </w:tblStylePr>
    <w:tblStylePr w:type="band1Horz">
      <w:tblPr/>
      <w:tcPr>
        <w:tcBorders>
          <w:top w:val="nil"/>
          <w:left w:val="nil"/>
          <w:bottom w:val="nil"/>
          <w:right w:val="nil"/>
          <w:insideH w:val="nil"/>
          <w:insideV w:val="nil"/>
        </w:tcBorders>
        <w:shd w:val="clear" w:color="auto" w:fill="71B03B"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FFA69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D1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46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4636" w:themeFill="accent2" w:themeFillShade="BF"/>
      </w:tcPr>
    </w:tblStylePr>
    <w:tblStylePr w:type="band1Vert">
      <w:tblPr/>
      <w:tcPr>
        <w:tcBorders>
          <w:top w:val="nil"/>
          <w:left w:val="nil"/>
          <w:bottom w:val="nil"/>
          <w:right w:val="nil"/>
          <w:insideH w:val="nil"/>
          <w:insideV w:val="nil"/>
        </w:tcBorders>
        <w:shd w:val="clear" w:color="auto" w:fill="FF4636" w:themeFill="accent2" w:themeFillShade="BF"/>
      </w:tcPr>
    </w:tblStylePr>
    <w:tblStylePr w:type="band1Horz">
      <w:tblPr/>
      <w:tcPr>
        <w:tcBorders>
          <w:top w:val="nil"/>
          <w:left w:val="nil"/>
          <w:bottom w:val="nil"/>
          <w:right w:val="nil"/>
          <w:insideH w:val="nil"/>
          <w:insideV w:val="nil"/>
        </w:tcBorders>
        <w:shd w:val="clear" w:color="auto" w:fill="FF4636"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FFC7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7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A8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A802" w:themeFill="accent3" w:themeFillShade="BF"/>
      </w:tcPr>
    </w:tblStylePr>
    <w:tblStylePr w:type="band1Vert">
      <w:tblPr/>
      <w:tcPr>
        <w:tcBorders>
          <w:top w:val="nil"/>
          <w:left w:val="nil"/>
          <w:bottom w:val="nil"/>
          <w:right w:val="nil"/>
          <w:insideH w:val="nil"/>
          <w:insideV w:val="nil"/>
        </w:tcBorders>
        <w:shd w:val="clear" w:color="auto" w:fill="FFA802" w:themeFill="accent3" w:themeFillShade="BF"/>
      </w:tcPr>
    </w:tblStylePr>
    <w:tblStylePr w:type="band1Horz">
      <w:tblPr/>
      <w:tcPr>
        <w:tcBorders>
          <w:top w:val="nil"/>
          <w:left w:val="nil"/>
          <w:bottom w:val="nil"/>
          <w:right w:val="nil"/>
          <w:insideH w:val="nil"/>
          <w:insideV w:val="nil"/>
        </w:tcBorders>
        <w:shd w:val="clear" w:color="auto" w:fill="FFA802"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F9DC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D006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359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3599" w:themeFill="accent4" w:themeFillShade="BF"/>
      </w:tcPr>
    </w:tblStylePr>
    <w:tblStylePr w:type="band1Vert">
      <w:tblPr/>
      <w:tcPr>
        <w:tcBorders>
          <w:top w:val="nil"/>
          <w:left w:val="nil"/>
          <w:bottom w:val="nil"/>
          <w:right w:val="nil"/>
          <w:insideH w:val="nil"/>
          <w:insideV w:val="nil"/>
        </w:tcBorders>
        <w:shd w:val="clear" w:color="auto" w:fill="FF3599" w:themeFill="accent4" w:themeFillShade="BF"/>
      </w:tcPr>
    </w:tblStylePr>
    <w:tblStylePr w:type="band1Horz">
      <w:tblPr/>
      <w:tcPr>
        <w:tcBorders>
          <w:top w:val="nil"/>
          <w:left w:val="nil"/>
          <w:bottom w:val="nil"/>
          <w:right w:val="nil"/>
          <w:insideH w:val="nil"/>
          <w:insideV w:val="nil"/>
        </w:tcBorders>
        <w:shd w:val="clear" w:color="auto" w:fill="FF359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8CB3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C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870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870FF" w:themeFill="accent5" w:themeFillShade="BF"/>
      </w:tcPr>
    </w:tblStylePr>
    <w:tblStylePr w:type="band1Vert">
      <w:tblPr/>
      <w:tcPr>
        <w:tcBorders>
          <w:top w:val="nil"/>
          <w:left w:val="nil"/>
          <w:bottom w:val="nil"/>
          <w:right w:val="nil"/>
          <w:insideH w:val="nil"/>
          <w:insideV w:val="nil"/>
        </w:tcBorders>
        <w:shd w:val="clear" w:color="auto" w:fill="2870FF" w:themeFill="accent5" w:themeFillShade="BF"/>
      </w:tcPr>
    </w:tblStylePr>
    <w:tblStylePr w:type="band1Horz">
      <w:tblPr/>
      <w:tcPr>
        <w:tcBorders>
          <w:top w:val="nil"/>
          <w:left w:val="nil"/>
          <w:bottom w:val="nil"/>
          <w:right w:val="nil"/>
          <w:insideH w:val="nil"/>
          <w:insideV w:val="nil"/>
        </w:tcBorders>
        <w:shd w:val="clear" w:color="auto" w:fill="2870FF"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DDE8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E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6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6FF" w:themeFill="accent6" w:themeFillShade="BF"/>
      </w:tcPr>
    </w:tblStylePr>
    <w:tblStylePr w:type="band1Vert">
      <w:tblPr/>
      <w:tcPr>
        <w:tcBorders>
          <w:top w:val="nil"/>
          <w:left w:val="nil"/>
          <w:bottom w:val="nil"/>
          <w:right w:val="nil"/>
          <w:insideH w:val="nil"/>
          <w:insideV w:val="nil"/>
        </w:tcBorders>
        <w:shd w:val="clear" w:color="auto" w:fill="6596FF" w:themeFill="accent6" w:themeFillShade="BF"/>
      </w:tcPr>
    </w:tblStylePr>
    <w:tblStylePr w:type="band1Horz">
      <w:tblPr/>
      <w:tcPr>
        <w:tcBorders>
          <w:top w:val="nil"/>
          <w:left w:val="nil"/>
          <w:bottom w:val="nil"/>
          <w:right w:val="nil"/>
          <w:insideH w:val="nil"/>
          <w:insideV w:val="nil"/>
        </w:tcBorders>
        <w:shd w:val="clear" w:color="auto" w:fill="6596FF"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D6EBC4" w:themeColor="accent1" w:themeTint="66"/>
        <w:left w:val="single" w:sz="4" w:space="0" w:color="D6EBC4" w:themeColor="accent1" w:themeTint="66"/>
        <w:bottom w:val="single" w:sz="4" w:space="0" w:color="D6EBC4" w:themeColor="accent1" w:themeTint="66"/>
        <w:right w:val="single" w:sz="4" w:space="0" w:color="D6EBC4" w:themeColor="accent1" w:themeTint="66"/>
        <w:insideH w:val="single" w:sz="4" w:space="0" w:color="D6EBC4" w:themeColor="accent1" w:themeTint="66"/>
        <w:insideV w:val="single" w:sz="4" w:space="0" w:color="D6EBC4" w:themeColor="accent1" w:themeTint="66"/>
      </w:tblBorders>
    </w:tblPr>
    <w:tblStylePr w:type="firstRow">
      <w:rPr>
        <w:b/>
        <w:bCs/>
      </w:rPr>
      <w:tblPr/>
      <w:tcPr>
        <w:tcBorders>
          <w:bottom w:val="single" w:sz="12" w:space="0" w:color="C2E1A7" w:themeColor="accent1" w:themeTint="99"/>
        </w:tcBorders>
      </w:tcPr>
    </w:tblStylePr>
    <w:tblStylePr w:type="lastRow">
      <w:rPr>
        <w:b/>
        <w:bCs/>
      </w:rPr>
      <w:tblPr/>
      <w:tcPr>
        <w:tcBorders>
          <w:top w:val="double" w:sz="2" w:space="0" w:color="C2E1A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FFDBD8" w:themeColor="accent2" w:themeTint="66"/>
        <w:left w:val="single" w:sz="4" w:space="0" w:color="FFDBD8" w:themeColor="accent2" w:themeTint="66"/>
        <w:bottom w:val="single" w:sz="4" w:space="0" w:color="FFDBD8" w:themeColor="accent2" w:themeTint="66"/>
        <w:right w:val="single" w:sz="4" w:space="0" w:color="FFDBD8" w:themeColor="accent2" w:themeTint="66"/>
        <w:insideH w:val="single" w:sz="4" w:space="0" w:color="FFDBD8" w:themeColor="accent2" w:themeTint="66"/>
        <w:insideV w:val="single" w:sz="4" w:space="0" w:color="FFDBD8" w:themeColor="accent2" w:themeTint="66"/>
      </w:tblBorders>
    </w:tblPr>
    <w:tblStylePr w:type="firstRow">
      <w:rPr>
        <w:b/>
        <w:bCs/>
      </w:rPr>
      <w:tblPr/>
      <w:tcPr>
        <w:tcBorders>
          <w:bottom w:val="single" w:sz="12" w:space="0" w:color="FFC9C4" w:themeColor="accent2" w:themeTint="99"/>
        </w:tcBorders>
      </w:tcPr>
    </w:tblStylePr>
    <w:tblStylePr w:type="lastRow">
      <w:rPr>
        <w:b/>
        <w:bCs/>
      </w:rPr>
      <w:tblPr/>
      <w:tcPr>
        <w:tcBorders>
          <w:top w:val="double" w:sz="2" w:space="0" w:color="FFC9C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FE8BC" w:themeColor="accent3" w:themeTint="66"/>
        <w:left w:val="single" w:sz="4" w:space="0" w:color="FFE8BC" w:themeColor="accent3" w:themeTint="66"/>
        <w:bottom w:val="single" w:sz="4" w:space="0" w:color="FFE8BC" w:themeColor="accent3" w:themeTint="66"/>
        <w:right w:val="single" w:sz="4" w:space="0" w:color="FFE8BC" w:themeColor="accent3" w:themeTint="66"/>
        <w:insideH w:val="single" w:sz="4" w:space="0" w:color="FFE8BC" w:themeColor="accent3" w:themeTint="66"/>
        <w:insideV w:val="single" w:sz="4" w:space="0" w:color="FFE8BC" w:themeColor="accent3" w:themeTint="66"/>
      </w:tblBorders>
    </w:tblPr>
    <w:tblStylePr w:type="firstRow">
      <w:rPr>
        <w:b/>
        <w:bCs/>
      </w:rPr>
      <w:tblPr/>
      <w:tcPr>
        <w:tcBorders>
          <w:bottom w:val="single" w:sz="12" w:space="0" w:color="FFDC9B" w:themeColor="accent3" w:themeTint="99"/>
        </w:tcBorders>
      </w:tcPr>
    </w:tblStylePr>
    <w:tblStylePr w:type="lastRow">
      <w:rPr>
        <w:b/>
        <w:bCs/>
      </w:rPr>
      <w:tblPr/>
      <w:tcPr>
        <w:tcBorders>
          <w:top w:val="double" w:sz="2" w:space="0" w:color="FFDC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FD7EB" w:themeColor="accent4" w:themeTint="66"/>
        <w:left w:val="single" w:sz="4" w:space="0" w:color="FFD7EB" w:themeColor="accent4" w:themeTint="66"/>
        <w:bottom w:val="single" w:sz="4" w:space="0" w:color="FFD7EB" w:themeColor="accent4" w:themeTint="66"/>
        <w:right w:val="single" w:sz="4" w:space="0" w:color="FFD7EB" w:themeColor="accent4" w:themeTint="66"/>
        <w:insideH w:val="single" w:sz="4" w:space="0" w:color="FFD7EB" w:themeColor="accent4" w:themeTint="66"/>
        <w:insideV w:val="single" w:sz="4" w:space="0" w:color="FFD7EB" w:themeColor="accent4" w:themeTint="66"/>
      </w:tblBorders>
    </w:tblPr>
    <w:tblStylePr w:type="firstRow">
      <w:rPr>
        <w:b/>
        <w:bCs/>
      </w:rPr>
      <w:tblPr/>
      <w:tcPr>
        <w:tcBorders>
          <w:bottom w:val="single" w:sz="12" w:space="0" w:color="FFC4E1" w:themeColor="accent4" w:themeTint="99"/>
        </w:tcBorders>
      </w:tcPr>
    </w:tblStylePr>
    <w:tblStylePr w:type="lastRow">
      <w:rPr>
        <w:b/>
        <w:bCs/>
      </w:rPr>
      <w:tblPr/>
      <w:tcPr>
        <w:tcBorders>
          <w:top w:val="double" w:sz="2" w:space="0" w:color="FFC4E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D1E0FF" w:themeColor="accent5" w:themeTint="66"/>
        <w:left w:val="single" w:sz="4" w:space="0" w:color="D1E0FF" w:themeColor="accent5" w:themeTint="66"/>
        <w:bottom w:val="single" w:sz="4" w:space="0" w:color="D1E0FF" w:themeColor="accent5" w:themeTint="66"/>
        <w:right w:val="single" w:sz="4" w:space="0" w:color="D1E0FF" w:themeColor="accent5" w:themeTint="66"/>
        <w:insideH w:val="single" w:sz="4" w:space="0" w:color="D1E0FF" w:themeColor="accent5" w:themeTint="66"/>
        <w:insideV w:val="single" w:sz="4" w:space="0" w:color="D1E0FF" w:themeColor="accent5" w:themeTint="66"/>
      </w:tblBorders>
    </w:tblPr>
    <w:tblStylePr w:type="firstRow">
      <w:rPr>
        <w:b/>
        <w:bCs/>
      </w:rPr>
      <w:tblPr/>
      <w:tcPr>
        <w:tcBorders>
          <w:bottom w:val="single" w:sz="12" w:space="0" w:color="BAD1FF" w:themeColor="accent5" w:themeTint="99"/>
        </w:tcBorders>
      </w:tcPr>
    </w:tblStylePr>
    <w:tblStylePr w:type="lastRow">
      <w:rPr>
        <w:b/>
        <w:bCs/>
      </w:rPr>
      <w:tblPr/>
      <w:tcPr>
        <w:tcBorders>
          <w:top w:val="double" w:sz="2" w:space="0" w:color="BAD1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F1F5FF" w:themeColor="accent6" w:themeTint="66"/>
        <w:left w:val="single" w:sz="4" w:space="0" w:color="F1F5FF" w:themeColor="accent6" w:themeTint="66"/>
        <w:bottom w:val="single" w:sz="4" w:space="0" w:color="F1F5FF" w:themeColor="accent6" w:themeTint="66"/>
        <w:right w:val="single" w:sz="4" w:space="0" w:color="F1F5FF" w:themeColor="accent6" w:themeTint="66"/>
        <w:insideH w:val="single" w:sz="4" w:space="0" w:color="F1F5FF" w:themeColor="accent6" w:themeTint="66"/>
        <w:insideV w:val="single" w:sz="4" w:space="0" w:color="F1F5FF" w:themeColor="accent6" w:themeTint="66"/>
      </w:tblBorders>
    </w:tblPr>
    <w:tblStylePr w:type="firstRow">
      <w:rPr>
        <w:b/>
        <w:bCs/>
      </w:rPr>
      <w:tblPr/>
      <w:tcPr>
        <w:tcBorders>
          <w:bottom w:val="single" w:sz="12" w:space="0" w:color="EAF0FF" w:themeColor="accent6" w:themeTint="99"/>
        </w:tcBorders>
      </w:tcPr>
    </w:tblStylePr>
    <w:tblStylePr w:type="lastRow">
      <w:rPr>
        <w:b/>
        <w:bCs/>
      </w:rPr>
      <w:tblPr/>
      <w:tcPr>
        <w:tcBorders>
          <w:top w:val="double" w:sz="2" w:space="0" w:color="EAF0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C2E1A7" w:themeColor="accent1" w:themeTint="99"/>
        <w:bottom w:val="single" w:sz="2" w:space="0" w:color="C2E1A7" w:themeColor="accent1" w:themeTint="99"/>
        <w:insideH w:val="single" w:sz="2" w:space="0" w:color="C2E1A7" w:themeColor="accent1" w:themeTint="99"/>
        <w:insideV w:val="single" w:sz="2" w:space="0" w:color="C2E1A7" w:themeColor="accent1" w:themeTint="99"/>
      </w:tblBorders>
    </w:tblPr>
    <w:tblStylePr w:type="firstRow">
      <w:rPr>
        <w:b/>
        <w:bCs/>
      </w:rPr>
      <w:tblPr/>
      <w:tcPr>
        <w:tcBorders>
          <w:top w:val="nil"/>
          <w:bottom w:val="single" w:sz="12" w:space="0" w:color="C2E1A7" w:themeColor="accent1" w:themeTint="99"/>
          <w:insideH w:val="nil"/>
          <w:insideV w:val="nil"/>
        </w:tcBorders>
        <w:shd w:val="clear" w:color="auto" w:fill="FFFFFF" w:themeFill="background1"/>
      </w:tcPr>
    </w:tblStylePr>
    <w:tblStylePr w:type="lastRow">
      <w:rPr>
        <w:b/>
        <w:bCs/>
      </w:rPr>
      <w:tblPr/>
      <w:tcPr>
        <w:tcBorders>
          <w:top w:val="double" w:sz="2" w:space="0" w:color="C2E1A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FFC9C4" w:themeColor="accent2" w:themeTint="99"/>
        <w:bottom w:val="single" w:sz="2" w:space="0" w:color="FFC9C4" w:themeColor="accent2" w:themeTint="99"/>
        <w:insideH w:val="single" w:sz="2" w:space="0" w:color="FFC9C4" w:themeColor="accent2" w:themeTint="99"/>
        <w:insideV w:val="single" w:sz="2" w:space="0" w:color="FFC9C4" w:themeColor="accent2" w:themeTint="99"/>
      </w:tblBorders>
    </w:tblPr>
    <w:tblStylePr w:type="firstRow">
      <w:rPr>
        <w:b/>
        <w:bCs/>
      </w:rPr>
      <w:tblPr/>
      <w:tcPr>
        <w:tcBorders>
          <w:top w:val="nil"/>
          <w:bottom w:val="single" w:sz="12" w:space="0" w:color="FFC9C4" w:themeColor="accent2" w:themeTint="99"/>
          <w:insideH w:val="nil"/>
          <w:insideV w:val="nil"/>
        </w:tcBorders>
        <w:shd w:val="clear" w:color="auto" w:fill="FFFFFF" w:themeFill="background1"/>
      </w:tcPr>
    </w:tblStylePr>
    <w:tblStylePr w:type="lastRow">
      <w:rPr>
        <w:b/>
        <w:bCs/>
      </w:rPr>
      <w:tblPr/>
      <w:tcPr>
        <w:tcBorders>
          <w:top w:val="double" w:sz="2" w:space="0" w:color="FFC9C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FDC9B" w:themeColor="accent3" w:themeTint="99"/>
        <w:bottom w:val="single" w:sz="2" w:space="0" w:color="FFDC9B" w:themeColor="accent3" w:themeTint="99"/>
        <w:insideH w:val="single" w:sz="2" w:space="0" w:color="FFDC9B" w:themeColor="accent3" w:themeTint="99"/>
        <w:insideV w:val="single" w:sz="2" w:space="0" w:color="FFDC9B" w:themeColor="accent3" w:themeTint="99"/>
      </w:tblBorders>
    </w:tblPr>
    <w:tblStylePr w:type="firstRow">
      <w:rPr>
        <w:b/>
        <w:bCs/>
      </w:rPr>
      <w:tblPr/>
      <w:tcPr>
        <w:tcBorders>
          <w:top w:val="nil"/>
          <w:bottom w:val="single" w:sz="12" w:space="0" w:color="FFDC9B" w:themeColor="accent3" w:themeTint="99"/>
          <w:insideH w:val="nil"/>
          <w:insideV w:val="nil"/>
        </w:tcBorders>
        <w:shd w:val="clear" w:color="auto" w:fill="FFFFFF" w:themeFill="background1"/>
      </w:tcPr>
    </w:tblStylePr>
    <w:tblStylePr w:type="lastRow">
      <w:rPr>
        <w:b/>
        <w:bCs/>
      </w:rPr>
      <w:tblPr/>
      <w:tcPr>
        <w:tcBorders>
          <w:top w:val="double" w:sz="2" w:space="0" w:color="FFDC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FC4E1" w:themeColor="accent4" w:themeTint="99"/>
        <w:bottom w:val="single" w:sz="2" w:space="0" w:color="FFC4E1" w:themeColor="accent4" w:themeTint="99"/>
        <w:insideH w:val="single" w:sz="2" w:space="0" w:color="FFC4E1" w:themeColor="accent4" w:themeTint="99"/>
        <w:insideV w:val="single" w:sz="2" w:space="0" w:color="FFC4E1" w:themeColor="accent4" w:themeTint="99"/>
      </w:tblBorders>
    </w:tblPr>
    <w:tblStylePr w:type="firstRow">
      <w:rPr>
        <w:b/>
        <w:bCs/>
      </w:rPr>
      <w:tblPr/>
      <w:tcPr>
        <w:tcBorders>
          <w:top w:val="nil"/>
          <w:bottom w:val="single" w:sz="12" w:space="0" w:color="FFC4E1" w:themeColor="accent4" w:themeTint="99"/>
          <w:insideH w:val="nil"/>
          <w:insideV w:val="nil"/>
        </w:tcBorders>
        <w:shd w:val="clear" w:color="auto" w:fill="FFFFFF" w:themeFill="background1"/>
      </w:tcPr>
    </w:tblStylePr>
    <w:tblStylePr w:type="lastRow">
      <w:rPr>
        <w:b/>
        <w:bCs/>
      </w:rPr>
      <w:tblPr/>
      <w:tcPr>
        <w:tcBorders>
          <w:top w:val="double" w:sz="2" w:space="0" w:color="FFC4E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BAD1FF" w:themeColor="accent5" w:themeTint="99"/>
        <w:bottom w:val="single" w:sz="2" w:space="0" w:color="BAD1FF" w:themeColor="accent5" w:themeTint="99"/>
        <w:insideH w:val="single" w:sz="2" w:space="0" w:color="BAD1FF" w:themeColor="accent5" w:themeTint="99"/>
        <w:insideV w:val="single" w:sz="2" w:space="0" w:color="BAD1FF" w:themeColor="accent5" w:themeTint="99"/>
      </w:tblBorders>
    </w:tblPr>
    <w:tblStylePr w:type="firstRow">
      <w:rPr>
        <w:b/>
        <w:bCs/>
      </w:rPr>
      <w:tblPr/>
      <w:tcPr>
        <w:tcBorders>
          <w:top w:val="nil"/>
          <w:bottom w:val="single" w:sz="12" w:space="0" w:color="BAD1FF" w:themeColor="accent5" w:themeTint="99"/>
          <w:insideH w:val="nil"/>
          <w:insideV w:val="nil"/>
        </w:tcBorders>
        <w:shd w:val="clear" w:color="auto" w:fill="FFFFFF" w:themeFill="background1"/>
      </w:tcPr>
    </w:tblStylePr>
    <w:tblStylePr w:type="lastRow">
      <w:rPr>
        <w:b/>
        <w:bCs/>
      </w:rPr>
      <w:tblPr/>
      <w:tcPr>
        <w:tcBorders>
          <w:top w:val="double" w:sz="2" w:space="0" w:color="BAD1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EAF0FF" w:themeColor="accent6" w:themeTint="99"/>
        <w:bottom w:val="single" w:sz="2" w:space="0" w:color="EAF0FF" w:themeColor="accent6" w:themeTint="99"/>
        <w:insideH w:val="single" w:sz="2" w:space="0" w:color="EAF0FF" w:themeColor="accent6" w:themeTint="99"/>
        <w:insideV w:val="single" w:sz="2" w:space="0" w:color="EAF0FF" w:themeColor="accent6" w:themeTint="99"/>
      </w:tblBorders>
    </w:tblPr>
    <w:tblStylePr w:type="firstRow">
      <w:rPr>
        <w:b/>
        <w:bCs/>
      </w:rPr>
      <w:tblPr/>
      <w:tcPr>
        <w:tcBorders>
          <w:top w:val="nil"/>
          <w:bottom w:val="single" w:sz="12" w:space="0" w:color="EAF0FF" w:themeColor="accent6" w:themeTint="99"/>
          <w:insideH w:val="nil"/>
          <w:insideV w:val="nil"/>
        </w:tcBorders>
        <w:shd w:val="clear" w:color="auto" w:fill="FFFFFF" w:themeFill="background1"/>
      </w:tcPr>
    </w:tblStylePr>
    <w:tblStylePr w:type="lastRow">
      <w:rPr>
        <w:b/>
        <w:bCs/>
      </w:rPr>
      <w:tblPr/>
      <w:tcPr>
        <w:tcBorders>
          <w:top w:val="double" w:sz="2" w:space="0" w:color="EAF0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bottom w:val="single" w:sz="4" w:space="0" w:color="C2E1A7" w:themeColor="accent1" w:themeTint="99"/>
        </w:tcBorders>
      </w:tcPr>
    </w:tblStylePr>
    <w:tblStylePr w:type="nwCell">
      <w:tblPr/>
      <w:tcPr>
        <w:tcBorders>
          <w:bottom w:val="single" w:sz="4" w:space="0" w:color="C2E1A7" w:themeColor="accent1" w:themeTint="99"/>
        </w:tcBorders>
      </w:tcPr>
    </w:tblStylePr>
    <w:tblStylePr w:type="seCell">
      <w:tblPr/>
      <w:tcPr>
        <w:tcBorders>
          <w:top w:val="single" w:sz="4" w:space="0" w:color="C2E1A7" w:themeColor="accent1" w:themeTint="99"/>
        </w:tcBorders>
      </w:tcPr>
    </w:tblStylePr>
    <w:tblStylePr w:type="swCell">
      <w:tblPr/>
      <w:tcPr>
        <w:tcBorders>
          <w:top w:val="single" w:sz="4" w:space="0" w:color="C2E1A7"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bottom w:val="single" w:sz="4" w:space="0" w:color="FFC9C4" w:themeColor="accent2" w:themeTint="99"/>
        </w:tcBorders>
      </w:tcPr>
    </w:tblStylePr>
    <w:tblStylePr w:type="nwCell">
      <w:tblPr/>
      <w:tcPr>
        <w:tcBorders>
          <w:bottom w:val="single" w:sz="4" w:space="0" w:color="FFC9C4" w:themeColor="accent2" w:themeTint="99"/>
        </w:tcBorders>
      </w:tcPr>
    </w:tblStylePr>
    <w:tblStylePr w:type="seCell">
      <w:tblPr/>
      <w:tcPr>
        <w:tcBorders>
          <w:top w:val="single" w:sz="4" w:space="0" w:color="FFC9C4" w:themeColor="accent2" w:themeTint="99"/>
        </w:tcBorders>
      </w:tcPr>
    </w:tblStylePr>
    <w:tblStylePr w:type="swCell">
      <w:tblPr/>
      <w:tcPr>
        <w:tcBorders>
          <w:top w:val="single" w:sz="4" w:space="0" w:color="FFC9C4"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bottom w:val="single" w:sz="4" w:space="0" w:color="FFDC9B" w:themeColor="accent3" w:themeTint="99"/>
        </w:tcBorders>
      </w:tcPr>
    </w:tblStylePr>
    <w:tblStylePr w:type="nwCell">
      <w:tblPr/>
      <w:tcPr>
        <w:tcBorders>
          <w:bottom w:val="single" w:sz="4" w:space="0" w:color="FFDC9B" w:themeColor="accent3" w:themeTint="99"/>
        </w:tcBorders>
      </w:tcPr>
    </w:tblStylePr>
    <w:tblStylePr w:type="seCell">
      <w:tblPr/>
      <w:tcPr>
        <w:tcBorders>
          <w:top w:val="single" w:sz="4" w:space="0" w:color="FFDC9B" w:themeColor="accent3" w:themeTint="99"/>
        </w:tcBorders>
      </w:tcPr>
    </w:tblStylePr>
    <w:tblStylePr w:type="swCell">
      <w:tblPr/>
      <w:tcPr>
        <w:tcBorders>
          <w:top w:val="single" w:sz="4" w:space="0" w:color="FFDC9B"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bottom w:val="single" w:sz="4" w:space="0" w:color="FFC4E1" w:themeColor="accent4" w:themeTint="99"/>
        </w:tcBorders>
      </w:tcPr>
    </w:tblStylePr>
    <w:tblStylePr w:type="nwCell">
      <w:tblPr/>
      <w:tcPr>
        <w:tcBorders>
          <w:bottom w:val="single" w:sz="4" w:space="0" w:color="FFC4E1" w:themeColor="accent4" w:themeTint="99"/>
        </w:tcBorders>
      </w:tcPr>
    </w:tblStylePr>
    <w:tblStylePr w:type="seCell">
      <w:tblPr/>
      <w:tcPr>
        <w:tcBorders>
          <w:top w:val="single" w:sz="4" w:space="0" w:color="FFC4E1" w:themeColor="accent4" w:themeTint="99"/>
        </w:tcBorders>
      </w:tcPr>
    </w:tblStylePr>
    <w:tblStylePr w:type="swCell">
      <w:tblPr/>
      <w:tcPr>
        <w:tcBorders>
          <w:top w:val="single" w:sz="4" w:space="0" w:color="FFC4E1"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bottom w:val="single" w:sz="4" w:space="0" w:color="BAD1FF" w:themeColor="accent5" w:themeTint="99"/>
        </w:tcBorders>
      </w:tcPr>
    </w:tblStylePr>
    <w:tblStylePr w:type="nwCell">
      <w:tblPr/>
      <w:tcPr>
        <w:tcBorders>
          <w:bottom w:val="single" w:sz="4" w:space="0" w:color="BAD1FF" w:themeColor="accent5" w:themeTint="99"/>
        </w:tcBorders>
      </w:tcPr>
    </w:tblStylePr>
    <w:tblStylePr w:type="seCell">
      <w:tblPr/>
      <w:tcPr>
        <w:tcBorders>
          <w:top w:val="single" w:sz="4" w:space="0" w:color="BAD1FF" w:themeColor="accent5" w:themeTint="99"/>
        </w:tcBorders>
      </w:tcPr>
    </w:tblStylePr>
    <w:tblStylePr w:type="swCell">
      <w:tblPr/>
      <w:tcPr>
        <w:tcBorders>
          <w:top w:val="single" w:sz="4" w:space="0" w:color="BAD1FF"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bottom w:val="single" w:sz="4" w:space="0" w:color="EAF0FF" w:themeColor="accent6" w:themeTint="99"/>
        </w:tcBorders>
      </w:tcPr>
    </w:tblStylePr>
    <w:tblStylePr w:type="nwCell">
      <w:tblPr/>
      <w:tcPr>
        <w:tcBorders>
          <w:bottom w:val="single" w:sz="4" w:space="0" w:color="EAF0FF" w:themeColor="accent6" w:themeTint="99"/>
        </w:tcBorders>
      </w:tcPr>
    </w:tblStylePr>
    <w:tblStylePr w:type="seCell">
      <w:tblPr/>
      <w:tcPr>
        <w:tcBorders>
          <w:top w:val="single" w:sz="4" w:space="0" w:color="EAF0FF" w:themeColor="accent6" w:themeTint="99"/>
        </w:tcBorders>
      </w:tcPr>
    </w:tblStylePr>
    <w:tblStylePr w:type="swCell">
      <w:tblPr/>
      <w:tcPr>
        <w:tcBorders>
          <w:top w:val="single" w:sz="4" w:space="0" w:color="EAF0FF"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color w:val="FFFFFF" w:themeColor="background1"/>
      </w:rPr>
      <w:tblPr/>
      <w:tcPr>
        <w:tcBorders>
          <w:top w:val="single" w:sz="4" w:space="0" w:color="9ACE6E" w:themeColor="accent1"/>
          <w:left w:val="single" w:sz="4" w:space="0" w:color="9ACE6E" w:themeColor="accent1"/>
          <w:bottom w:val="single" w:sz="4" w:space="0" w:color="9ACE6E" w:themeColor="accent1"/>
          <w:right w:val="single" w:sz="4" w:space="0" w:color="9ACE6E" w:themeColor="accent1"/>
          <w:insideH w:val="nil"/>
          <w:insideV w:val="nil"/>
        </w:tcBorders>
        <w:shd w:val="clear" w:color="auto" w:fill="9ACE6E" w:themeFill="accent1"/>
      </w:tcPr>
    </w:tblStylePr>
    <w:tblStylePr w:type="lastRow">
      <w:rPr>
        <w:b/>
        <w:bCs/>
      </w:rPr>
      <w:tblPr/>
      <w:tcPr>
        <w:tcBorders>
          <w:top w:val="double" w:sz="4" w:space="0" w:color="9ACE6E" w:themeColor="accent1"/>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color w:val="FFFFFF" w:themeColor="background1"/>
      </w:rPr>
      <w:tblPr/>
      <w:tcPr>
        <w:tcBorders>
          <w:top w:val="single" w:sz="4" w:space="0" w:color="FFA69E" w:themeColor="accent2"/>
          <w:left w:val="single" w:sz="4" w:space="0" w:color="FFA69E" w:themeColor="accent2"/>
          <w:bottom w:val="single" w:sz="4" w:space="0" w:color="FFA69E" w:themeColor="accent2"/>
          <w:right w:val="single" w:sz="4" w:space="0" w:color="FFA69E" w:themeColor="accent2"/>
          <w:insideH w:val="nil"/>
          <w:insideV w:val="nil"/>
        </w:tcBorders>
        <w:shd w:val="clear" w:color="auto" w:fill="FFA69E" w:themeFill="accent2"/>
      </w:tcPr>
    </w:tblStylePr>
    <w:tblStylePr w:type="lastRow">
      <w:rPr>
        <w:b/>
        <w:bCs/>
      </w:rPr>
      <w:tblPr/>
      <w:tcPr>
        <w:tcBorders>
          <w:top w:val="double" w:sz="4" w:space="0" w:color="FFA69E" w:themeColor="accent2"/>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color w:val="FFFFFF" w:themeColor="background1"/>
      </w:rPr>
      <w:tblPr/>
      <w:tcPr>
        <w:tcBorders>
          <w:top w:val="single" w:sz="4" w:space="0" w:color="FFC759" w:themeColor="accent3"/>
          <w:left w:val="single" w:sz="4" w:space="0" w:color="FFC759" w:themeColor="accent3"/>
          <w:bottom w:val="single" w:sz="4" w:space="0" w:color="FFC759" w:themeColor="accent3"/>
          <w:right w:val="single" w:sz="4" w:space="0" w:color="FFC759" w:themeColor="accent3"/>
          <w:insideH w:val="nil"/>
          <w:insideV w:val="nil"/>
        </w:tcBorders>
        <w:shd w:val="clear" w:color="auto" w:fill="FFC759" w:themeFill="accent3"/>
      </w:tcPr>
    </w:tblStylePr>
    <w:tblStylePr w:type="lastRow">
      <w:rPr>
        <w:b/>
        <w:bCs/>
      </w:rPr>
      <w:tblPr/>
      <w:tcPr>
        <w:tcBorders>
          <w:top w:val="double" w:sz="4" w:space="0" w:color="FFC759" w:themeColor="accent3"/>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color w:val="FFFFFF" w:themeColor="background1"/>
      </w:rPr>
      <w:tblPr/>
      <w:tcPr>
        <w:tcBorders>
          <w:top w:val="single" w:sz="4" w:space="0" w:color="FF9DCE" w:themeColor="accent4"/>
          <w:left w:val="single" w:sz="4" w:space="0" w:color="FF9DCE" w:themeColor="accent4"/>
          <w:bottom w:val="single" w:sz="4" w:space="0" w:color="FF9DCE" w:themeColor="accent4"/>
          <w:right w:val="single" w:sz="4" w:space="0" w:color="FF9DCE" w:themeColor="accent4"/>
          <w:insideH w:val="nil"/>
          <w:insideV w:val="nil"/>
        </w:tcBorders>
        <w:shd w:val="clear" w:color="auto" w:fill="FF9DCE" w:themeFill="accent4"/>
      </w:tcPr>
    </w:tblStylePr>
    <w:tblStylePr w:type="lastRow">
      <w:rPr>
        <w:b/>
        <w:bCs/>
      </w:rPr>
      <w:tblPr/>
      <w:tcPr>
        <w:tcBorders>
          <w:top w:val="double" w:sz="4" w:space="0" w:color="FF9DCE" w:themeColor="accent4"/>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color w:val="FFFFFF" w:themeColor="background1"/>
      </w:rPr>
      <w:tblPr/>
      <w:tcPr>
        <w:tcBorders>
          <w:top w:val="single" w:sz="4" w:space="0" w:color="8CB3FF" w:themeColor="accent5"/>
          <w:left w:val="single" w:sz="4" w:space="0" w:color="8CB3FF" w:themeColor="accent5"/>
          <w:bottom w:val="single" w:sz="4" w:space="0" w:color="8CB3FF" w:themeColor="accent5"/>
          <w:right w:val="single" w:sz="4" w:space="0" w:color="8CB3FF" w:themeColor="accent5"/>
          <w:insideH w:val="nil"/>
          <w:insideV w:val="nil"/>
        </w:tcBorders>
        <w:shd w:val="clear" w:color="auto" w:fill="8CB3FF" w:themeFill="accent5"/>
      </w:tcPr>
    </w:tblStylePr>
    <w:tblStylePr w:type="lastRow">
      <w:rPr>
        <w:b/>
        <w:bCs/>
      </w:rPr>
      <w:tblPr/>
      <w:tcPr>
        <w:tcBorders>
          <w:top w:val="double" w:sz="4" w:space="0" w:color="8CB3FF" w:themeColor="accent5"/>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color w:val="FFFFFF" w:themeColor="background1"/>
      </w:rPr>
      <w:tblPr/>
      <w:tcPr>
        <w:tcBorders>
          <w:top w:val="single" w:sz="4" w:space="0" w:color="DDE8FF" w:themeColor="accent6"/>
          <w:left w:val="single" w:sz="4" w:space="0" w:color="DDE8FF" w:themeColor="accent6"/>
          <w:bottom w:val="single" w:sz="4" w:space="0" w:color="DDE8FF" w:themeColor="accent6"/>
          <w:right w:val="single" w:sz="4" w:space="0" w:color="DDE8FF" w:themeColor="accent6"/>
          <w:insideH w:val="nil"/>
          <w:insideV w:val="nil"/>
        </w:tcBorders>
        <w:shd w:val="clear" w:color="auto" w:fill="DDE8FF" w:themeFill="accent6"/>
      </w:tcPr>
    </w:tblStylePr>
    <w:tblStylePr w:type="lastRow">
      <w:rPr>
        <w:b/>
        <w:bCs/>
      </w:rPr>
      <w:tblPr/>
      <w:tcPr>
        <w:tcBorders>
          <w:top w:val="double" w:sz="4" w:space="0" w:color="DDE8FF" w:themeColor="accent6"/>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5E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CE6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CE6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CE6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CE6E" w:themeFill="accent1"/>
      </w:tcPr>
    </w:tblStylePr>
    <w:tblStylePr w:type="band1Vert">
      <w:tblPr/>
      <w:tcPr>
        <w:shd w:val="clear" w:color="auto" w:fill="D6EBC4" w:themeFill="accent1" w:themeFillTint="66"/>
      </w:tcPr>
    </w:tblStylePr>
    <w:tblStylePr w:type="band1Horz">
      <w:tblPr/>
      <w:tcPr>
        <w:shd w:val="clear" w:color="auto" w:fill="D6EBC4"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69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69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69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69E" w:themeFill="accent2"/>
      </w:tcPr>
    </w:tblStylePr>
    <w:tblStylePr w:type="band1Vert">
      <w:tblPr/>
      <w:tcPr>
        <w:shd w:val="clear" w:color="auto" w:fill="FFDBD8" w:themeFill="accent2" w:themeFillTint="66"/>
      </w:tcPr>
    </w:tblStylePr>
    <w:tblStylePr w:type="band1Horz">
      <w:tblPr/>
      <w:tcPr>
        <w:shd w:val="clear" w:color="auto" w:fill="FFDBD8"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7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7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7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759" w:themeFill="accent3"/>
      </w:tcPr>
    </w:tblStylePr>
    <w:tblStylePr w:type="band1Vert">
      <w:tblPr/>
      <w:tcPr>
        <w:shd w:val="clear" w:color="auto" w:fill="FFE8BC" w:themeFill="accent3" w:themeFillTint="66"/>
      </w:tcPr>
    </w:tblStylePr>
    <w:tblStylePr w:type="band1Horz">
      <w:tblPr/>
      <w:tcPr>
        <w:shd w:val="clear" w:color="auto" w:fill="FFE8BC"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BF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DC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DC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DC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DCE" w:themeFill="accent4"/>
      </w:tcPr>
    </w:tblStylePr>
    <w:tblStylePr w:type="band1Vert">
      <w:tblPr/>
      <w:tcPr>
        <w:shd w:val="clear" w:color="auto" w:fill="FFD7EB" w:themeFill="accent4" w:themeFillTint="66"/>
      </w:tcPr>
    </w:tblStylePr>
    <w:tblStylePr w:type="band1Horz">
      <w:tblPr/>
      <w:tcPr>
        <w:shd w:val="clear" w:color="auto" w:fill="FFD7EB"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B3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B3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B3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B3FF" w:themeFill="accent5"/>
      </w:tcPr>
    </w:tblStylePr>
    <w:tblStylePr w:type="band1Vert">
      <w:tblPr/>
      <w:tcPr>
        <w:shd w:val="clear" w:color="auto" w:fill="D1E0FF" w:themeFill="accent5" w:themeFillTint="66"/>
      </w:tcPr>
    </w:tblStylePr>
    <w:tblStylePr w:type="band1Horz">
      <w:tblPr/>
      <w:tcPr>
        <w:shd w:val="clear" w:color="auto" w:fill="D1E0FF"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E8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E8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E8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E8FF" w:themeFill="accent6"/>
      </w:tcPr>
    </w:tblStylePr>
    <w:tblStylePr w:type="band1Vert">
      <w:tblPr/>
      <w:tcPr>
        <w:shd w:val="clear" w:color="auto" w:fill="F1F5FF" w:themeFill="accent6" w:themeFillTint="66"/>
      </w:tcPr>
    </w:tblStylePr>
    <w:tblStylePr w:type="band1Horz">
      <w:tblPr/>
      <w:tcPr>
        <w:shd w:val="clear" w:color="auto" w:fill="F1F5FF"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71B03B" w:themeColor="accent1" w:themeShade="BF"/>
    </w:r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bottom w:val="single" w:sz="12" w:space="0" w:color="C2E1A7" w:themeColor="accent1" w:themeTint="99"/>
        </w:tcBorders>
      </w:tcPr>
    </w:tblStylePr>
    <w:tblStylePr w:type="lastRow">
      <w:rPr>
        <w:b/>
        <w:bCs/>
      </w:rPr>
      <w:tblPr/>
      <w:tcPr>
        <w:tcBorders>
          <w:top w:val="doub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FF4636" w:themeColor="accent2" w:themeShade="BF"/>
    </w:r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bottom w:val="single" w:sz="12" w:space="0" w:color="FFC9C4" w:themeColor="accent2" w:themeTint="99"/>
        </w:tcBorders>
      </w:tcPr>
    </w:tblStylePr>
    <w:tblStylePr w:type="lastRow">
      <w:rPr>
        <w:b/>
        <w:bCs/>
      </w:rPr>
      <w:tblPr/>
      <w:tcPr>
        <w:tcBorders>
          <w:top w:val="doub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FFA802" w:themeColor="accent3" w:themeShade="BF"/>
    </w:r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bottom w:val="single" w:sz="12" w:space="0" w:color="FFDC9B" w:themeColor="accent3" w:themeTint="99"/>
        </w:tcBorders>
      </w:tcPr>
    </w:tblStylePr>
    <w:tblStylePr w:type="lastRow">
      <w:rPr>
        <w:b/>
        <w:bCs/>
      </w:rPr>
      <w:tblPr/>
      <w:tcPr>
        <w:tcBorders>
          <w:top w:val="doub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FF3599" w:themeColor="accent4" w:themeShade="BF"/>
    </w:r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bottom w:val="single" w:sz="12" w:space="0" w:color="FFC4E1" w:themeColor="accent4" w:themeTint="99"/>
        </w:tcBorders>
      </w:tcPr>
    </w:tblStylePr>
    <w:tblStylePr w:type="lastRow">
      <w:rPr>
        <w:b/>
        <w:bCs/>
      </w:rPr>
      <w:tblPr/>
      <w:tcPr>
        <w:tcBorders>
          <w:top w:val="doub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2870FF" w:themeColor="accent5" w:themeShade="BF"/>
    </w:r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bottom w:val="single" w:sz="12" w:space="0" w:color="BAD1FF" w:themeColor="accent5" w:themeTint="99"/>
        </w:tcBorders>
      </w:tcPr>
    </w:tblStylePr>
    <w:tblStylePr w:type="lastRow">
      <w:rPr>
        <w:b/>
        <w:bCs/>
      </w:rPr>
      <w:tblPr/>
      <w:tcPr>
        <w:tcBorders>
          <w:top w:val="doub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596FF" w:themeColor="accent6" w:themeShade="BF"/>
    </w:r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bottom w:val="single" w:sz="12" w:space="0" w:color="EAF0FF" w:themeColor="accent6" w:themeTint="99"/>
        </w:tcBorders>
      </w:tcPr>
    </w:tblStylePr>
    <w:tblStylePr w:type="lastRow">
      <w:rPr>
        <w:b/>
        <w:bCs/>
      </w:rPr>
      <w:tblPr/>
      <w:tcPr>
        <w:tcBorders>
          <w:top w:val="doub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71B03B" w:themeColor="accent1" w:themeShade="BF"/>
    </w:r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bottom w:val="single" w:sz="4" w:space="0" w:color="C2E1A7" w:themeColor="accent1" w:themeTint="99"/>
        </w:tcBorders>
      </w:tcPr>
    </w:tblStylePr>
    <w:tblStylePr w:type="nwCell">
      <w:tblPr/>
      <w:tcPr>
        <w:tcBorders>
          <w:bottom w:val="single" w:sz="4" w:space="0" w:color="C2E1A7" w:themeColor="accent1" w:themeTint="99"/>
        </w:tcBorders>
      </w:tcPr>
    </w:tblStylePr>
    <w:tblStylePr w:type="seCell">
      <w:tblPr/>
      <w:tcPr>
        <w:tcBorders>
          <w:top w:val="single" w:sz="4" w:space="0" w:color="C2E1A7" w:themeColor="accent1" w:themeTint="99"/>
        </w:tcBorders>
      </w:tcPr>
    </w:tblStylePr>
    <w:tblStylePr w:type="swCell">
      <w:tblPr/>
      <w:tcPr>
        <w:tcBorders>
          <w:top w:val="single" w:sz="4" w:space="0" w:color="C2E1A7"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FF4636" w:themeColor="accent2" w:themeShade="BF"/>
    </w:r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bottom w:val="single" w:sz="4" w:space="0" w:color="FFC9C4" w:themeColor="accent2" w:themeTint="99"/>
        </w:tcBorders>
      </w:tcPr>
    </w:tblStylePr>
    <w:tblStylePr w:type="nwCell">
      <w:tblPr/>
      <w:tcPr>
        <w:tcBorders>
          <w:bottom w:val="single" w:sz="4" w:space="0" w:color="FFC9C4" w:themeColor="accent2" w:themeTint="99"/>
        </w:tcBorders>
      </w:tcPr>
    </w:tblStylePr>
    <w:tblStylePr w:type="seCell">
      <w:tblPr/>
      <w:tcPr>
        <w:tcBorders>
          <w:top w:val="single" w:sz="4" w:space="0" w:color="FFC9C4" w:themeColor="accent2" w:themeTint="99"/>
        </w:tcBorders>
      </w:tcPr>
    </w:tblStylePr>
    <w:tblStylePr w:type="swCell">
      <w:tblPr/>
      <w:tcPr>
        <w:tcBorders>
          <w:top w:val="single" w:sz="4" w:space="0" w:color="FFC9C4"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FFA802" w:themeColor="accent3" w:themeShade="BF"/>
    </w:r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bottom w:val="single" w:sz="4" w:space="0" w:color="FFDC9B" w:themeColor="accent3" w:themeTint="99"/>
        </w:tcBorders>
      </w:tcPr>
    </w:tblStylePr>
    <w:tblStylePr w:type="nwCell">
      <w:tblPr/>
      <w:tcPr>
        <w:tcBorders>
          <w:bottom w:val="single" w:sz="4" w:space="0" w:color="FFDC9B" w:themeColor="accent3" w:themeTint="99"/>
        </w:tcBorders>
      </w:tcPr>
    </w:tblStylePr>
    <w:tblStylePr w:type="seCell">
      <w:tblPr/>
      <w:tcPr>
        <w:tcBorders>
          <w:top w:val="single" w:sz="4" w:space="0" w:color="FFDC9B" w:themeColor="accent3" w:themeTint="99"/>
        </w:tcBorders>
      </w:tcPr>
    </w:tblStylePr>
    <w:tblStylePr w:type="swCell">
      <w:tblPr/>
      <w:tcPr>
        <w:tcBorders>
          <w:top w:val="single" w:sz="4" w:space="0" w:color="FFDC9B"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FF3599" w:themeColor="accent4" w:themeShade="BF"/>
    </w:r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bottom w:val="single" w:sz="4" w:space="0" w:color="FFC4E1" w:themeColor="accent4" w:themeTint="99"/>
        </w:tcBorders>
      </w:tcPr>
    </w:tblStylePr>
    <w:tblStylePr w:type="nwCell">
      <w:tblPr/>
      <w:tcPr>
        <w:tcBorders>
          <w:bottom w:val="single" w:sz="4" w:space="0" w:color="FFC4E1" w:themeColor="accent4" w:themeTint="99"/>
        </w:tcBorders>
      </w:tcPr>
    </w:tblStylePr>
    <w:tblStylePr w:type="seCell">
      <w:tblPr/>
      <w:tcPr>
        <w:tcBorders>
          <w:top w:val="single" w:sz="4" w:space="0" w:color="FFC4E1" w:themeColor="accent4" w:themeTint="99"/>
        </w:tcBorders>
      </w:tcPr>
    </w:tblStylePr>
    <w:tblStylePr w:type="swCell">
      <w:tblPr/>
      <w:tcPr>
        <w:tcBorders>
          <w:top w:val="single" w:sz="4" w:space="0" w:color="FFC4E1"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2870FF" w:themeColor="accent5" w:themeShade="BF"/>
    </w:r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bottom w:val="single" w:sz="4" w:space="0" w:color="BAD1FF" w:themeColor="accent5" w:themeTint="99"/>
        </w:tcBorders>
      </w:tcPr>
    </w:tblStylePr>
    <w:tblStylePr w:type="nwCell">
      <w:tblPr/>
      <w:tcPr>
        <w:tcBorders>
          <w:bottom w:val="single" w:sz="4" w:space="0" w:color="BAD1FF" w:themeColor="accent5" w:themeTint="99"/>
        </w:tcBorders>
      </w:tcPr>
    </w:tblStylePr>
    <w:tblStylePr w:type="seCell">
      <w:tblPr/>
      <w:tcPr>
        <w:tcBorders>
          <w:top w:val="single" w:sz="4" w:space="0" w:color="BAD1FF" w:themeColor="accent5" w:themeTint="99"/>
        </w:tcBorders>
      </w:tcPr>
    </w:tblStylePr>
    <w:tblStylePr w:type="swCell">
      <w:tblPr/>
      <w:tcPr>
        <w:tcBorders>
          <w:top w:val="single" w:sz="4" w:space="0" w:color="BAD1FF"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596FF" w:themeColor="accent6" w:themeShade="BF"/>
    </w:r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bottom w:val="single" w:sz="4" w:space="0" w:color="EAF0FF" w:themeColor="accent6" w:themeTint="99"/>
        </w:tcBorders>
      </w:tcPr>
    </w:tblStylePr>
    <w:tblStylePr w:type="nwCell">
      <w:tblPr/>
      <w:tcPr>
        <w:tcBorders>
          <w:bottom w:val="single" w:sz="4" w:space="0" w:color="EAF0FF" w:themeColor="accent6" w:themeTint="99"/>
        </w:tcBorders>
      </w:tcPr>
    </w:tblStylePr>
    <w:tblStylePr w:type="seCell">
      <w:tblPr/>
      <w:tcPr>
        <w:tcBorders>
          <w:top w:val="single" w:sz="4" w:space="0" w:color="EAF0FF" w:themeColor="accent6" w:themeTint="99"/>
        </w:tcBorders>
      </w:tcPr>
    </w:tblStylePr>
    <w:tblStylePr w:type="swCell">
      <w:tblPr/>
      <w:tcPr>
        <w:tcBorders>
          <w:top w:val="single" w:sz="4" w:space="0" w:color="EAF0FF"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insideH w:val="single" w:sz="8" w:space="0" w:color="9ACE6E" w:themeColor="accent1"/>
        <w:insideV w:val="single" w:sz="8" w:space="0" w:color="9ACE6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CE6E" w:themeColor="accent1"/>
          <w:left w:val="single" w:sz="8" w:space="0" w:color="9ACE6E" w:themeColor="accent1"/>
          <w:bottom w:val="single" w:sz="18" w:space="0" w:color="9ACE6E" w:themeColor="accent1"/>
          <w:right w:val="single" w:sz="8" w:space="0" w:color="9ACE6E" w:themeColor="accent1"/>
          <w:insideH w:val="nil"/>
          <w:insideV w:val="single" w:sz="8" w:space="0" w:color="9ACE6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CE6E" w:themeColor="accent1"/>
          <w:left w:val="single" w:sz="8" w:space="0" w:color="9ACE6E" w:themeColor="accent1"/>
          <w:bottom w:val="single" w:sz="8" w:space="0" w:color="9ACE6E" w:themeColor="accent1"/>
          <w:right w:val="single" w:sz="8" w:space="0" w:color="9ACE6E" w:themeColor="accent1"/>
          <w:insideH w:val="nil"/>
          <w:insideV w:val="single" w:sz="8" w:space="0" w:color="9ACE6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tblStylePr w:type="band1Vert">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shd w:val="clear" w:color="auto" w:fill="E5F3DB" w:themeFill="accent1" w:themeFillTint="3F"/>
      </w:tcPr>
    </w:tblStylePr>
    <w:tblStylePr w:type="band1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insideV w:val="single" w:sz="8" w:space="0" w:color="9ACE6E" w:themeColor="accent1"/>
        </w:tcBorders>
        <w:shd w:val="clear" w:color="auto" w:fill="E5F3DB" w:themeFill="accent1" w:themeFillTint="3F"/>
      </w:tcPr>
    </w:tblStylePr>
    <w:tblStylePr w:type="band2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insideV w:val="single" w:sz="8" w:space="0" w:color="9ACE6E"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insideH w:val="single" w:sz="8" w:space="0" w:color="FFA69E" w:themeColor="accent2"/>
        <w:insideV w:val="single" w:sz="8" w:space="0" w:color="FFA69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69E" w:themeColor="accent2"/>
          <w:left w:val="single" w:sz="8" w:space="0" w:color="FFA69E" w:themeColor="accent2"/>
          <w:bottom w:val="single" w:sz="18" w:space="0" w:color="FFA69E" w:themeColor="accent2"/>
          <w:right w:val="single" w:sz="8" w:space="0" w:color="FFA69E" w:themeColor="accent2"/>
          <w:insideH w:val="nil"/>
          <w:insideV w:val="single" w:sz="8" w:space="0" w:color="FFA69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69E" w:themeColor="accent2"/>
          <w:left w:val="single" w:sz="8" w:space="0" w:color="FFA69E" w:themeColor="accent2"/>
          <w:bottom w:val="single" w:sz="8" w:space="0" w:color="FFA69E" w:themeColor="accent2"/>
          <w:right w:val="single" w:sz="8" w:space="0" w:color="FFA69E" w:themeColor="accent2"/>
          <w:insideH w:val="nil"/>
          <w:insideV w:val="single" w:sz="8" w:space="0" w:color="FFA69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tblStylePr w:type="band1Vert">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shd w:val="clear" w:color="auto" w:fill="FFE8E7" w:themeFill="accent2" w:themeFillTint="3F"/>
      </w:tcPr>
    </w:tblStylePr>
    <w:tblStylePr w:type="band1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insideV w:val="single" w:sz="8" w:space="0" w:color="FFA69E" w:themeColor="accent2"/>
        </w:tcBorders>
        <w:shd w:val="clear" w:color="auto" w:fill="FFE8E7" w:themeFill="accent2" w:themeFillTint="3F"/>
      </w:tcPr>
    </w:tblStylePr>
    <w:tblStylePr w:type="band2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insideV w:val="single" w:sz="8" w:space="0" w:color="FFA69E"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insideH w:val="single" w:sz="8" w:space="0" w:color="FFC759" w:themeColor="accent3"/>
        <w:insideV w:val="single" w:sz="8" w:space="0" w:color="FFC7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759" w:themeColor="accent3"/>
          <w:left w:val="single" w:sz="8" w:space="0" w:color="FFC759" w:themeColor="accent3"/>
          <w:bottom w:val="single" w:sz="18" w:space="0" w:color="FFC759" w:themeColor="accent3"/>
          <w:right w:val="single" w:sz="8" w:space="0" w:color="FFC759" w:themeColor="accent3"/>
          <w:insideH w:val="nil"/>
          <w:insideV w:val="single" w:sz="8" w:space="0" w:color="FFC7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759" w:themeColor="accent3"/>
          <w:left w:val="single" w:sz="8" w:space="0" w:color="FFC759" w:themeColor="accent3"/>
          <w:bottom w:val="single" w:sz="8" w:space="0" w:color="FFC759" w:themeColor="accent3"/>
          <w:right w:val="single" w:sz="8" w:space="0" w:color="FFC759" w:themeColor="accent3"/>
          <w:insideH w:val="nil"/>
          <w:insideV w:val="single" w:sz="8" w:space="0" w:color="FFC7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tblStylePr w:type="band1Vert">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shd w:val="clear" w:color="auto" w:fill="FFF0D5" w:themeFill="accent3" w:themeFillTint="3F"/>
      </w:tcPr>
    </w:tblStylePr>
    <w:tblStylePr w:type="band1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insideV w:val="single" w:sz="8" w:space="0" w:color="FFC759" w:themeColor="accent3"/>
        </w:tcBorders>
        <w:shd w:val="clear" w:color="auto" w:fill="FFF0D5" w:themeFill="accent3" w:themeFillTint="3F"/>
      </w:tcPr>
    </w:tblStylePr>
    <w:tblStylePr w:type="band2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insideV w:val="single" w:sz="8" w:space="0" w:color="FFC759"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insideH w:val="single" w:sz="8" w:space="0" w:color="FF9DCE" w:themeColor="accent4"/>
        <w:insideV w:val="single" w:sz="8" w:space="0" w:color="FF9DC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DCE" w:themeColor="accent4"/>
          <w:left w:val="single" w:sz="8" w:space="0" w:color="FF9DCE" w:themeColor="accent4"/>
          <w:bottom w:val="single" w:sz="18" w:space="0" w:color="FF9DCE" w:themeColor="accent4"/>
          <w:right w:val="single" w:sz="8" w:space="0" w:color="FF9DCE" w:themeColor="accent4"/>
          <w:insideH w:val="nil"/>
          <w:insideV w:val="single" w:sz="8" w:space="0" w:color="FF9DC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DCE" w:themeColor="accent4"/>
          <w:left w:val="single" w:sz="8" w:space="0" w:color="FF9DCE" w:themeColor="accent4"/>
          <w:bottom w:val="single" w:sz="8" w:space="0" w:color="FF9DCE" w:themeColor="accent4"/>
          <w:right w:val="single" w:sz="8" w:space="0" w:color="FF9DCE" w:themeColor="accent4"/>
          <w:insideH w:val="nil"/>
          <w:insideV w:val="single" w:sz="8" w:space="0" w:color="FF9DC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tblStylePr w:type="band1Vert">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shd w:val="clear" w:color="auto" w:fill="FFE6F2" w:themeFill="accent4" w:themeFillTint="3F"/>
      </w:tcPr>
    </w:tblStylePr>
    <w:tblStylePr w:type="band1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insideV w:val="single" w:sz="8" w:space="0" w:color="FF9DCE" w:themeColor="accent4"/>
        </w:tcBorders>
        <w:shd w:val="clear" w:color="auto" w:fill="FFE6F2" w:themeFill="accent4" w:themeFillTint="3F"/>
      </w:tcPr>
    </w:tblStylePr>
    <w:tblStylePr w:type="band2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insideV w:val="single" w:sz="8" w:space="0" w:color="FF9DCE"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insideH w:val="single" w:sz="8" w:space="0" w:color="8CB3FF" w:themeColor="accent5"/>
        <w:insideV w:val="single" w:sz="8" w:space="0" w:color="8CB3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B3FF" w:themeColor="accent5"/>
          <w:left w:val="single" w:sz="8" w:space="0" w:color="8CB3FF" w:themeColor="accent5"/>
          <w:bottom w:val="single" w:sz="18" w:space="0" w:color="8CB3FF" w:themeColor="accent5"/>
          <w:right w:val="single" w:sz="8" w:space="0" w:color="8CB3FF" w:themeColor="accent5"/>
          <w:insideH w:val="nil"/>
          <w:insideV w:val="single" w:sz="8" w:space="0" w:color="8CB3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B3FF" w:themeColor="accent5"/>
          <w:left w:val="single" w:sz="8" w:space="0" w:color="8CB3FF" w:themeColor="accent5"/>
          <w:bottom w:val="single" w:sz="8" w:space="0" w:color="8CB3FF" w:themeColor="accent5"/>
          <w:right w:val="single" w:sz="8" w:space="0" w:color="8CB3FF" w:themeColor="accent5"/>
          <w:insideH w:val="nil"/>
          <w:insideV w:val="single" w:sz="8" w:space="0" w:color="8CB3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tblStylePr w:type="band1Vert">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shd w:val="clear" w:color="auto" w:fill="E2ECFF" w:themeFill="accent5" w:themeFillTint="3F"/>
      </w:tcPr>
    </w:tblStylePr>
    <w:tblStylePr w:type="band1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insideV w:val="single" w:sz="8" w:space="0" w:color="8CB3FF" w:themeColor="accent5"/>
        </w:tcBorders>
        <w:shd w:val="clear" w:color="auto" w:fill="E2ECFF" w:themeFill="accent5" w:themeFillTint="3F"/>
      </w:tcPr>
    </w:tblStylePr>
    <w:tblStylePr w:type="band2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insideV w:val="single" w:sz="8" w:space="0" w:color="8CB3FF"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insideH w:val="single" w:sz="8" w:space="0" w:color="DDE8FF" w:themeColor="accent6"/>
        <w:insideV w:val="single" w:sz="8" w:space="0" w:color="DDE8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E8FF" w:themeColor="accent6"/>
          <w:left w:val="single" w:sz="8" w:space="0" w:color="DDE8FF" w:themeColor="accent6"/>
          <w:bottom w:val="single" w:sz="18" w:space="0" w:color="DDE8FF" w:themeColor="accent6"/>
          <w:right w:val="single" w:sz="8" w:space="0" w:color="DDE8FF" w:themeColor="accent6"/>
          <w:insideH w:val="nil"/>
          <w:insideV w:val="single" w:sz="8" w:space="0" w:color="DDE8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E8FF" w:themeColor="accent6"/>
          <w:left w:val="single" w:sz="8" w:space="0" w:color="DDE8FF" w:themeColor="accent6"/>
          <w:bottom w:val="single" w:sz="8" w:space="0" w:color="DDE8FF" w:themeColor="accent6"/>
          <w:right w:val="single" w:sz="8" w:space="0" w:color="DDE8FF" w:themeColor="accent6"/>
          <w:insideH w:val="nil"/>
          <w:insideV w:val="single" w:sz="8" w:space="0" w:color="DDE8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tblStylePr w:type="band1Vert">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shd w:val="clear" w:color="auto" w:fill="F6F9FF" w:themeFill="accent6" w:themeFillTint="3F"/>
      </w:tcPr>
    </w:tblStylePr>
    <w:tblStylePr w:type="band1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insideV w:val="single" w:sz="8" w:space="0" w:color="DDE8FF" w:themeColor="accent6"/>
        </w:tcBorders>
        <w:shd w:val="clear" w:color="auto" w:fill="F6F9FF" w:themeFill="accent6" w:themeFillTint="3F"/>
      </w:tcPr>
    </w:tblStylePr>
    <w:tblStylePr w:type="band2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insideV w:val="single" w:sz="8" w:space="0" w:color="DDE8FF"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tblBorders>
    </w:tblPr>
    <w:tblStylePr w:type="firstRow">
      <w:pPr>
        <w:spacing w:before="0" w:after="0" w:line="240" w:lineRule="auto"/>
      </w:pPr>
      <w:rPr>
        <w:b/>
        <w:bCs/>
        <w:color w:val="FFFFFF" w:themeColor="background1"/>
      </w:rPr>
      <w:tblPr/>
      <w:tcPr>
        <w:shd w:val="clear" w:color="auto" w:fill="9ACE6E" w:themeFill="accent1"/>
      </w:tcPr>
    </w:tblStylePr>
    <w:tblStylePr w:type="lastRow">
      <w:pPr>
        <w:spacing w:before="0" w:after="0" w:line="240" w:lineRule="auto"/>
      </w:pPr>
      <w:rPr>
        <w:b/>
        <w:bCs/>
      </w:rPr>
      <w:tblPr/>
      <w:tcPr>
        <w:tcBorders>
          <w:top w:val="double" w:sz="6" w:space="0" w:color="9ACE6E" w:themeColor="accent1"/>
          <w:left w:val="single" w:sz="8" w:space="0" w:color="9ACE6E" w:themeColor="accent1"/>
          <w:bottom w:val="single" w:sz="8" w:space="0" w:color="9ACE6E" w:themeColor="accent1"/>
          <w:right w:val="single" w:sz="8" w:space="0" w:color="9ACE6E" w:themeColor="accent1"/>
        </w:tcBorders>
      </w:tcPr>
    </w:tblStylePr>
    <w:tblStylePr w:type="firstCol">
      <w:rPr>
        <w:b/>
        <w:bCs/>
      </w:rPr>
    </w:tblStylePr>
    <w:tblStylePr w:type="lastCol">
      <w:rPr>
        <w:b/>
        <w:bCs/>
      </w:rPr>
    </w:tblStylePr>
    <w:tblStylePr w:type="band1Vert">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tblStylePr w:type="band1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tblBorders>
    </w:tblPr>
    <w:tblStylePr w:type="firstRow">
      <w:pPr>
        <w:spacing w:before="0" w:after="0" w:line="240" w:lineRule="auto"/>
      </w:pPr>
      <w:rPr>
        <w:b/>
        <w:bCs/>
        <w:color w:val="FFFFFF" w:themeColor="background1"/>
      </w:rPr>
      <w:tblPr/>
      <w:tcPr>
        <w:shd w:val="clear" w:color="auto" w:fill="FFA69E" w:themeFill="accent2"/>
      </w:tcPr>
    </w:tblStylePr>
    <w:tblStylePr w:type="lastRow">
      <w:pPr>
        <w:spacing w:before="0" w:after="0" w:line="240" w:lineRule="auto"/>
      </w:pPr>
      <w:rPr>
        <w:b/>
        <w:bCs/>
      </w:rPr>
      <w:tblPr/>
      <w:tcPr>
        <w:tcBorders>
          <w:top w:val="double" w:sz="6" w:space="0" w:color="FFA69E" w:themeColor="accent2"/>
          <w:left w:val="single" w:sz="8" w:space="0" w:color="FFA69E" w:themeColor="accent2"/>
          <w:bottom w:val="single" w:sz="8" w:space="0" w:color="FFA69E" w:themeColor="accent2"/>
          <w:right w:val="single" w:sz="8" w:space="0" w:color="FFA69E" w:themeColor="accent2"/>
        </w:tcBorders>
      </w:tcPr>
    </w:tblStylePr>
    <w:tblStylePr w:type="firstCol">
      <w:rPr>
        <w:b/>
        <w:bCs/>
      </w:rPr>
    </w:tblStylePr>
    <w:tblStylePr w:type="lastCol">
      <w:rPr>
        <w:b/>
        <w:bCs/>
      </w:rPr>
    </w:tblStylePr>
    <w:tblStylePr w:type="band1Vert">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tblStylePr w:type="band1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tblBorders>
    </w:tblPr>
    <w:tblStylePr w:type="firstRow">
      <w:pPr>
        <w:spacing w:before="0" w:after="0" w:line="240" w:lineRule="auto"/>
      </w:pPr>
      <w:rPr>
        <w:b/>
        <w:bCs/>
        <w:color w:val="FFFFFF" w:themeColor="background1"/>
      </w:rPr>
      <w:tblPr/>
      <w:tcPr>
        <w:shd w:val="clear" w:color="auto" w:fill="FFC759" w:themeFill="accent3"/>
      </w:tcPr>
    </w:tblStylePr>
    <w:tblStylePr w:type="lastRow">
      <w:pPr>
        <w:spacing w:before="0" w:after="0" w:line="240" w:lineRule="auto"/>
      </w:pPr>
      <w:rPr>
        <w:b/>
        <w:bCs/>
      </w:rPr>
      <w:tblPr/>
      <w:tcPr>
        <w:tcBorders>
          <w:top w:val="double" w:sz="6" w:space="0" w:color="FFC759" w:themeColor="accent3"/>
          <w:left w:val="single" w:sz="8" w:space="0" w:color="FFC759" w:themeColor="accent3"/>
          <w:bottom w:val="single" w:sz="8" w:space="0" w:color="FFC759" w:themeColor="accent3"/>
          <w:right w:val="single" w:sz="8" w:space="0" w:color="FFC759" w:themeColor="accent3"/>
        </w:tcBorders>
      </w:tcPr>
    </w:tblStylePr>
    <w:tblStylePr w:type="firstCol">
      <w:rPr>
        <w:b/>
        <w:bCs/>
      </w:rPr>
    </w:tblStylePr>
    <w:tblStylePr w:type="lastCol">
      <w:rPr>
        <w:b/>
        <w:bCs/>
      </w:rPr>
    </w:tblStylePr>
    <w:tblStylePr w:type="band1Vert">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tblStylePr w:type="band1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tblBorders>
    </w:tblPr>
    <w:tblStylePr w:type="firstRow">
      <w:pPr>
        <w:spacing w:before="0" w:after="0" w:line="240" w:lineRule="auto"/>
      </w:pPr>
      <w:rPr>
        <w:b/>
        <w:bCs/>
        <w:color w:val="FFFFFF" w:themeColor="background1"/>
      </w:rPr>
      <w:tblPr/>
      <w:tcPr>
        <w:shd w:val="clear" w:color="auto" w:fill="FF9DCE" w:themeFill="accent4"/>
      </w:tcPr>
    </w:tblStylePr>
    <w:tblStylePr w:type="lastRow">
      <w:pPr>
        <w:spacing w:before="0" w:after="0" w:line="240" w:lineRule="auto"/>
      </w:pPr>
      <w:rPr>
        <w:b/>
        <w:bCs/>
      </w:rPr>
      <w:tblPr/>
      <w:tcPr>
        <w:tcBorders>
          <w:top w:val="double" w:sz="6" w:space="0" w:color="FF9DCE" w:themeColor="accent4"/>
          <w:left w:val="single" w:sz="8" w:space="0" w:color="FF9DCE" w:themeColor="accent4"/>
          <w:bottom w:val="single" w:sz="8" w:space="0" w:color="FF9DCE" w:themeColor="accent4"/>
          <w:right w:val="single" w:sz="8" w:space="0" w:color="FF9DCE" w:themeColor="accent4"/>
        </w:tcBorders>
      </w:tcPr>
    </w:tblStylePr>
    <w:tblStylePr w:type="firstCol">
      <w:rPr>
        <w:b/>
        <w:bCs/>
      </w:rPr>
    </w:tblStylePr>
    <w:tblStylePr w:type="lastCol">
      <w:rPr>
        <w:b/>
        <w:bCs/>
      </w:rPr>
    </w:tblStylePr>
    <w:tblStylePr w:type="band1Vert">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tblStylePr w:type="band1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tblBorders>
    </w:tblPr>
    <w:tblStylePr w:type="firstRow">
      <w:pPr>
        <w:spacing w:before="0" w:after="0" w:line="240" w:lineRule="auto"/>
      </w:pPr>
      <w:rPr>
        <w:b/>
        <w:bCs/>
        <w:color w:val="FFFFFF" w:themeColor="background1"/>
      </w:rPr>
      <w:tblPr/>
      <w:tcPr>
        <w:shd w:val="clear" w:color="auto" w:fill="8CB3FF" w:themeFill="accent5"/>
      </w:tcPr>
    </w:tblStylePr>
    <w:tblStylePr w:type="lastRow">
      <w:pPr>
        <w:spacing w:before="0" w:after="0" w:line="240" w:lineRule="auto"/>
      </w:pPr>
      <w:rPr>
        <w:b/>
        <w:bCs/>
      </w:rPr>
      <w:tblPr/>
      <w:tcPr>
        <w:tcBorders>
          <w:top w:val="double" w:sz="6" w:space="0" w:color="8CB3FF" w:themeColor="accent5"/>
          <w:left w:val="single" w:sz="8" w:space="0" w:color="8CB3FF" w:themeColor="accent5"/>
          <w:bottom w:val="single" w:sz="8" w:space="0" w:color="8CB3FF" w:themeColor="accent5"/>
          <w:right w:val="single" w:sz="8" w:space="0" w:color="8CB3FF" w:themeColor="accent5"/>
        </w:tcBorders>
      </w:tcPr>
    </w:tblStylePr>
    <w:tblStylePr w:type="firstCol">
      <w:rPr>
        <w:b/>
        <w:bCs/>
      </w:rPr>
    </w:tblStylePr>
    <w:tblStylePr w:type="lastCol">
      <w:rPr>
        <w:b/>
        <w:bCs/>
      </w:rPr>
    </w:tblStylePr>
    <w:tblStylePr w:type="band1Vert">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tblStylePr w:type="band1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tblBorders>
    </w:tblPr>
    <w:tblStylePr w:type="firstRow">
      <w:pPr>
        <w:spacing w:before="0" w:after="0" w:line="240" w:lineRule="auto"/>
      </w:pPr>
      <w:rPr>
        <w:b/>
        <w:bCs/>
        <w:color w:val="FFFFFF" w:themeColor="background1"/>
      </w:rPr>
      <w:tblPr/>
      <w:tcPr>
        <w:shd w:val="clear" w:color="auto" w:fill="DDE8FF" w:themeFill="accent6"/>
      </w:tcPr>
    </w:tblStylePr>
    <w:tblStylePr w:type="lastRow">
      <w:pPr>
        <w:spacing w:before="0" w:after="0" w:line="240" w:lineRule="auto"/>
      </w:pPr>
      <w:rPr>
        <w:b/>
        <w:bCs/>
      </w:rPr>
      <w:tblPr/>
      <w:tcPr>
        <w:tcBorders>
          <w:top w:val="double" w:sz="6" w:space="0" w:color="DDE8FF" w:themeColor="accent6"/>
          <w:left w:val="single" w:sz="8" w:space="0" w:color="DDE8FF" w:themeColor="accent6"/>
          <w:bottom w:val="single" w:sz="8" w:space="0" w:color="DDE8FF" w:themeColor="accent6"/>
          <w:right w:val="single" w:sz="8" w:space="0" w:color="DDE8FF" w:themeColor="accent6"/>
        </w:tcBorders>
      </w:tcPr>
    </w:tblStylePr>
    <w:tblStylePr w:type="firstCol">
      <w:rPr>
        <w:b/>
        <w:bCs/>
      </w:rPr>
    </w:tblStylePr>
    <w:tblStylePr w:type="lastCol">
      <w:rPr>
        <w:b/>
        <w:bCs/>
      </w:rPr>
    </w:tblStylePr>
    <w:tblStylePr w:type="band1Vert">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tblStylePr w:type="band1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71B03B" w:themeColor="accent1" w:themeShade="BF"/>
    </w:rPr>
    <w:tblPr>
      <w:tblStyleRowBandSize w:val="1"/>
      <w:tblStyleColBandSize w:val="1"/>
      <w:tblBorders>
        <w:top w:val="single" w:sz="8" w:space="0" w:color="9ACE6E" w:themeColor="accent1"/>
        <w:bottom w:val="single" w:sz="8" w:space="0" w:color="9ACE6E" w:themeColor="accent1"/>
      </w:tblBorders>
    </w:tblPr>
    <w:tblStylePr w:type="firstRow">
      <w:pPr>
        <w:spacing w:before="0" w:after="0" w:line="240" w:lineRule="auto"/>
      </w:pPr>
      <w:rPr>
        <w:b/>
        <w:bCs/>
      </w:rPr>
      <w:tblPr/>
      <w:tcPr>
        <w:tcBorders>
          <w:top w:val="single" w:sz="8" w:space="0" w:color="9ACE6E" w:themeColor="accent1"/>
          <w:left w:val="nil"/>
          <w:bottom w:val="single" w:sz="8" w:space="0" w:color="9ACE6E" w:themeColor="accent1"/>
          <w:right w:val="nil"/>
          <w:insideH w:val="nil"/>
          <w:insideV w:val="nil"/>
        </w:tcBorders>
      </w:tcPr>
    </w:tblStylePr>
    <w:tblStylePr w:type="lastRow">
      <w:pPr>
        <w:spacing w:before="0" w:after="0" w:line="240" w:lineRule="auto"/>
      </w:pPr>
      <w:rPr>
        <w:b/>
        <w:bCs/>
      </w:rPr>
      <w:tblPr/>
      <w:tcPr>
        <w:tcBorders>
          <w:top w:val="single" w:sz="8" w:space="0" w:color="9ACE6E" w:themeColor="accent1"/>
          <w:left w:val="nil"/>
          <w:bottom w:val="single" w:sz="8" w:space="0" w:color="9ACE6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3DB" w:themeFill="accent1" w:themeFillTint="3F"/>
      </w:tcPr>
    </w:tblStylePr>
    <w:tblStylePr w:type="band1Horz">
      <w:tblPr/>
      <w:tcPr>
        <w:tcBorders>
          <w:left w:val="nil"/>
          <w:right w:val="nil"/>
          <w:insideH w:val="nil"/>
          <w:insideV w:val="nil"/>
        </w:tcBorders>
        <w:shd w:val="clear" w:color="auto" w:fill="E5F3DB" w:themeFill="accent1" w:themeFillTint="3F"/>
      </w:tcPr>
    </w:tblStylePr>
  </w:style>
  <w:style w:type="table" w:styleId="LightShading-Accent2">
    <w:name w:val="Light Shading Accent 2"/>
    <w:basedOn w:val="TableNormal"/>
    <w:uiPriority w:val="60"/>
    <w:semiHidden/>
    <w:rsid w:val="0058629F"/>
    <w:pPr>
      <w:spacing w:line="240" w:lineRule="auto"/>
    </w:pPr>
    <w:rPr>
      <w:color w:val="FF4636" w:themeColor="accent2" w:themeShade="BF"/>
    </w:rPr>
    <w:tblPr>
      <w:tblStyleRowBandSize w:val="1"/>
      <w:tblStyleColBandSize w:val="1"/>
      <w:tblBorders>
        <w:top w:val="single" w:sz="8" w:space="0" w:color="FFA69E" w:themeColor="accent2"/>
        <w:bottom w:val="single" w:sz="8" w:space="0" w:color="FFA69E" w:themeColor="accent2"/>
      </w:tblBorders>
    </w:tblPr>
    <w:tblStylePr w:type="firstRow">
      <w:pPr>
        <w:spacing w:before="0" w:after="0" w:line="240" w:lineRule="auto"/>
      </w:pPr>
      <w:rPr>
        <w:b/>
        <w:bCs/>
      </w:rPr>
      <w:tblPr/>
      <w:tcPr>
        <w:tcBorders>
          <w:top w:val="single" w:sz="8" w:space="0" w:color="FFA69E" w:themeColor="accent2"/>
          <w:left w:val="nil"/>
          <w:bottom w:val="single" w:sz="8" w:space="0" w:color="FFA69E" w:themeColor="accent2"/>
          <w:right w:val="nil"/>
          <w:insideH w:val="nil"/>
          <w:insideV w:val="nil"/>
        </w:tcBorders>
      </w:tcPr>
    </w:tblStylePr>
    <w:tblStylePr w:type="lastRow">
      <w:pPr>
        <w:spacing w:before="0" w:after="0" w:line="240" w:lineRule="auto"/>
      </w:pPr>
      <w:rPr>
        <w:b/>
        <w:bCs/>
      </w:rPr>
      <w:tblPr/>
      <w:tcPr>
        <w:tcBorders>
          <w:top w:val="single" w:sz="8" w:space="0" w:color="FFA69E" w:themeColor="accent2"/>
          <w:left w:val="nil"/>
          <w:bottom w:val="single" w:sz="8" w:space="0" w:color="FFA69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8E7" w:themeFill="accent2" w:themeFillTint="3F"/>
      </w:tcPr>
    </w:tblStylePr>
    <w:tblStylePr w:type="band1Horz">
      <w:tblPr/>
      <w:tcPr>
        <w:tcBorders>
          <w:left w:val="nil"/>
          <w:right w:val="nil"/>
          <w:insideH w:val="nil"/>
          <w:insideV w:val="nil"/>
        </w:tcBorders>
        <w:shd w:val="clear" w:color="auto" w:fill="FFE8E7" w:themeFill="accent2" w:themeFillTint="3F"/>
      </w:tcPr>
    </w:tblStylePr>
  </w:style>
  <w:style w:type="table" w:styleId="LightShading-Accent3">
    <w:name w:val="Light Shading Accent 3"/>
    <w:basedOn w:val="TableNormal"/>
    <w:uiPriority w:val="60"/>
    <w:semiHidden/>
    <w:rsid w:val="0058629F"/>
    <w:pPr>
      <w:spacing w:line="240" w:lineRule="auto"/>
    </w:pPr>
    <w:rPr>
      <w:color w:val="FFA802" w:themeColor="accent3" w:themeShade="BF"/>
    </w:rPr>
    <w:tblPr>
      <w:tblStyleRowBandSize w:val="1"/>
      <w:tblStyleColBandSize w:val="1"/>
      <w:tblBorders>
        <w:top w:val="single" w:sz="8" w:space="0" w:color="FFC759" w:themeColor="accent3"/>
        <w:bottom w:val="single" w:sz="8" w:space="0" w:color="FFC759" w:themeColor="accent3"/>
      </w:tblBorders>
    </w:tblPr>
    <w:tblStylePr w:type="firstRow">
      <w:pPr>
        <w:spacing w:before="0" w:after="0" w:line="240" w:lineRule="auto"/>
      </w:pPr>
      <w:rPr>
        <w:b/>
        <w:bCs/>
      </w:rPr>
      <w:tblPr/>
      <w:tcPr>
        <w:tcBorders>
          <w:top w:val="single" w:sz="8" w:space="0" w:color="FFC759" w:themeColor="accent3"/>
          <w:left w:val="nil"/>
          <w:bottom w:val="single" w:sz="8" w:space="0" w:color="FFC759" w:themeColor="accent3"/>
          <w:right w:val="nil"/>
          <w:insideH w:val="nil"/>
          <w:insideV w:val="nil"/>
        </w:tcBorders>
      </w:tcPr>
    </w:tblStylePr>
    <w:tblStylePr w:type="lastRow">
      <w:pPr>
        <w:spacing w:before="0" w:after="0" w:line="240" w:lineRule="auto"/>
      </w:pPr>
      <w:rPr>
        <w:b/>
        <w:bCs/>
      </w:rPr>
      <w:tblPr/>
      <w:tcPr>
        <w:tcBorders>
          <w:top w:val="single" w:sz="8" w:space="0" w:color="FFC759" w:themeColor="accent3"/>
          <w:left w:val="nil"/>
          <w:bottom w:val="single" w:sz="8" w:space="0" w:color="FFC7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D5" w:themeFill="accent3" w:themeFillTint="3F"/>
      </w:tcPr>
    </w:tblStylePr>
    <w:tblStylePr w:type="band1Horz">
      <w:tblPr/>
      <w:tcPr>
        <w:tcBorders>
          <w:left w:val="nil"/>
          <w:right w:val="nil"/>
          <w:insideH w:val="nil"/>
          <w:insideV w:val="nil"/>
        </w:tcBorders>
        <w:shd w:val="clear" w:color="auto" w:fill="FFF0D5" w:themeFill="accent3" w:themeFillTint="3F"/>
      </w:tcPr>
    </w:tblStylePr>
  </w:style>
  <w:style w:type="table" w:styleId="LightShading-Accent4">
    <w:name w:val="Light Shading Accent 4"/>
    <w:basedOn w:val="TableNormal"/>
    <w:uiPriority w:val="60"/>
    <w:semiHidden/>
    <w:rsid w:val="0058629F"/>
    <w:pPr>
      <w:spacing w:line="240" w:lineRule="auto"/>
    </w:pPr>
    <w:rPr>
      <w:color w:val="FF3599" w:themeColor="accent4" w:themeShade="BF"/>
    </w:rPr>
    <w:tblPr>
      <w:tblStyleRowBandSize w:val="1"/>
      <w:tblStyleColBandSize w:val="1"/>
      <w:tblBorders>
        <w:top w:val="single" w:sz="8" w:space="0" w:color="FF9DCE" w:themeColor="accent4"/>
        <w:bottom w:val="single" w:sz="8" w:space="0" w:color="FF9DCE" w:themeColor="accent4"/>
      </w:tblBorders>
    </w:tblPr>
    <w:tblStylePr w:type="firstRow">
      <w:pPr>
        <w:spacing w:before="0" w:after="0" w:line="240" w:lineRule="auto"/>
      </w:pPr>
      <w:rPr>
        <w:b/>
        <w:bCs/>
      </w:rPr>
      <w:tblPr/>
      <w:tcPr>
        <w:tcBorders>
          <w:top w:val="single" w:sz="8" w:space="0" w:color="FF9DCE" w:themeColor="accent4"/>
          <w:left w:val="nil"/>
          <w:bottom w:val="single" w:sz="8" w:space="0" w:color="FF9DCE" w:themeColor="accent4"/>
          <w:right w:val="nil"/>
          <w:insideH w:val="nil"/>
          <w:insideV w:val="nil"/>
        </w:tcBorders>
      </w:tcPr>
    </w:tblStylePr>
    <w:tblStylePr w:type="lastRow">
      <w:pPr>
        <w:spacing w:before="0" w:after="0" w:line="240" w:lineRule="auto"/>
      </w:pPr>
      <w:rPr>
        <w:b/>
        <w:bCs/>
      </w:rPr>
      <w:tblPr/>
      <w:tcPr>
        <w:tcBorders>
          <w:top w:val="single" w:sz="8" w:space="0" w:color="FF9DCE" w:themeColor="accent4"/>
          <w:left w:val="nil"/>
          <w:bottom w:val="single" w:sz="8" w:space="0" w:color="FF9DC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6F2" w:themeFill="accent4" w:themeFillTint="3F"/>
      </w:tcPr>
    </w:tblStylePr>
    <w:tblStylePr w:type="band1Horz">
      <w:tblPr/>
      <w:tcPr>
        <w:tcBorders>
          <w:left w:val="nil"/>
          <w:right w:val="nil"/>
          <w:insideH w:val="nil"/>
          <w:insideV w:val="nil"/>
        </w:tcBorders>
        <w:shd w:val="clear" w:color="auto" w:fill="FFE6F2" w:themeFill="accent4" w:themeFillTint="3F"/>
      </w:tcPr>
    </w:tblStylePr>
  </w:style>
  <w:style w:type="table" w:styleId="LightShading-Accent5">
    <w:name w:val="Light Shading Accent 5"/>
    <w:basedOn w:val="TableNormal"/>
    <w:uiPriority w:val="60"/>
    <w:semiHidden/>
    <w:rsid w:val="0058629F"/>
    <w:pPr>
      <w:spacing w:line="240" w:lineRule="auto"/>
    </w:pPr>
    <w:rPr>
      <w:color w:val="2870FF" w:themeColor="accent5" w:themeShade="BF"/>
    </w:rPr>
    <w:tblPr>
      <w:tblStyleRowBandSize w:val="1"/>
      <w:tblStyleColBandSize w:val="1"/>
      <w:tblBorders>
        <w:top w:val="single" w:sz="8" w:space="0" w:color="8CB3FF" w:themeColor="accent5"/>
        <w:bottom w:val="single" w:sz="8" w:space="0" w:color="8CB3FF" w:themeColor="accent5"/>
      </w:tblBorders>
    </w:tblPr>
    <w:tblStylePr w:type="firstRow">
      <w:pPr>
        <w:spacing w:before="0" w:after="0" w:line="240" w:lineRule="auto"/>
      </w:pPr>
      <w:rPr>
        <w:b/>
        <w:bCs/>
      </w:rPr>
      <w:tblPr/>
      <w:tcPr>
        <w:tcBorders>
          <w:top w:val="single" w:sz="8" w:space="0" w:color="8CB3FF" w:themeColor="accent5"/>
          <w:left w:val="nil"/>
          <w:bottom w:val="single" w:sz="8" w:space="0" w:color="8CB3FF" w:themeColor="accent5"/>
          <w:right w:val="nil"/>
          <w:insideH w:val="nil"/>
          <w:insideV w:val="nil"/>
        </w:tcBorders>
      </w:tcPr>
    </w:tblStylePr>
    <w:tblStylePr w:type="lastRow">
      <w:pPr>
        <w:spacing w:before="0" w:after="0" w:line="240" w:lineRule="auto"/>
      </w:pPr>
      <w:rPr>
        <w:b/>
        <w:bCs/>
      </w:rPr>
      <w:tblPr/>
      <w:tcPr>
        <w:tcBorders>
          <w:top w:val="single" w:sz="8" w:space="0" w:color="8CB3FF" w:themeColor="accent5"/>
          <w:left w:val="nil"/>
          <w:bottom w:val="single" w:sz="8" w:space="0" w:color="8CB3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CFF" w:themeFill="accent5" w:themeFillTint="3F"/>
      </w:tcPr>
    </w:tblStylePr>
    <w:tblStylePr w:type="band1Horz">
      <w:tblPr/>
      <w:tcPr>
        <w:tcBorders>
          <w:left w:val="nil"/>
          <w:right w:val="nil"/>
          <w:insideH w:val="nil"/>
          <w:insideV w:val="nil"/>
        </w:tcBorders>
        <w:shd w:val="clear" w:color="auto" w:fill="E2ECFF" w:themeFill="accent5" w:themeFillTint="3F"/>
      </w:tcPr>
    </w:tblStylePr>
  </w:style>
  <w:style w:type="table" w:styleId="LightShading-Accent6">
    <w:name w:val="Light Shading Accent 6"/>
    <w:basedOn w:val="TableNormal"/>
    <w:uiPriority w:val="60"/>
    <w:semiHidden/>
    <w:rsid w:val="0058629F"/>
    <w:pPr>
      <w:spacing w:line="240" w:lineRule="auto"/>
    </w:pPr>
    <w:rPr>
      <w:color w:val="6596FF" w:themeColor="accent6" w:themeShade="BF"/>
    </w:rPr>
    <w:tblPr>
      <w:tblStyleRowBandSize w:val="1"/>
      <w:tblStyleColBandSize w:val="1"/>
      <w:tblBorders>
        <w:top w:val="single" w:sz="8" w:space="0" w:color="DDE8FF" w:themeColor="accent6"/>
        <w:bottom w:val="single" w:sz="8" w:space="0" w:color="DDE8FF" w:themeColor="accent6"/>
      </w:tblBorders>
    </w:tblPr>
    <w:tblStylePr w:type="firstRow">
      <w:pPr>
        <w:spacing w:before="0" w:after="0" w:line="240" w:lineRule="auto"/>
      </w:pPr>
      <w:rPr>
        <w:b/>
        <w:bCs/>
      </w:rPr>
      <w:tblPr/>
      <w:tcPr>
        <w:tcBorders>
          <w:top w:val="single" w:sz="8" w:space="0" w:color="DDE8FF" w:themeColor="accent6"/>
          <w:left w:val="nil"/>
          <w:bottom w:val="single" w:sz="8" w:space="0" w:color="DDE8FF" w:themeColor="accent6"/>
          <w:right w:val="nil"/>
          <w:insideH w:val="nil"/>
          <w:insideV w:val="nil"/>
        </w:tcBorders>
      </w:tcPr>
    </w:tblStylePr>
    <w:tblStylePr w:type="lastRow">
      <w:pPr>
        <w:spacing w:before="0" w:after="0" w:line="240" w:lineRule="auto"/>
      </w:pPr>
      <w:rPr>
        <w:b/>
        <w:bCs/>
      </w:rPr>
      <w:tblPr/>
      <w:tcPr>
        <w:tcBorders>
          <w:top w:val="single" w:sz="8" w:space="0" w:color="DDE8FF" w:themeColor="accent6"/>
          <w:left w:val="nil"/>
          <w:bottom w:val="single" w:sz="8" w:space="0" w:color="DDE8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9FF" w:themeFill="accent6" w:themeFillTint="3F"/>
      </w:tcPr>
    </w:tblStylePr>
    <w:tblStylePr w:type="band1Horz">
      <w:tblPr/>
      <w:tcPr>
        <w:tcBorders>
          <w:left w:val="nil"/>
          <w:right w:val="nil"/>
          <w:insideH w:val="nil"/>
          <w:insideV w:val="nil"/>
        </w:tcBorders>
        <w:shd w:val="clear" w:color="auto" w:fill="F6F9F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2E1A7" w:themeColor="accent1" w:themeTint="99"/>
        </w:tcBorders>
      </w:tcPr>
    </w:tblStylePr>
    <w:tblStylePr w:type="lastRow">
      <w:rPr>
        <w:b/>
        <w:bCs/>
      </w:rPr>
      <w:tblPr/>
      <w:tcPr>
        <w:tcBorders>
          <w:top w:val="sing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C9C4" w:themeColor="accent2" w:themeTint="99"/>
        </w:tcBorders>
      </w:tcPr>
    </w:tblStylePr>
    <w:tblStylePr w:type="lastRow">
      <w:rPr>
        <w:b/>
        <w:bCs/>
      </w:rPr>
      <w:tblPr/>
      <w:tcPr>
        <w:tcBorders>
          <w:top w:val="sing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DC9B" w:themeColor="accent3" w:themeTint="99"/>
        </w:tcBorders>
      </w:tcPr>
    </w:tblStylePr>
    <w:tblStylePr w:type="lastRow">
      <w:rPr>
        <w:b/>
        <w:bCs/>
      </w:rPr>
      <w:tblPr/>
      <w:tcPr>
        <w:tcBorders>
          <w:top w:val="sing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C4E1" w:themeColor="accent4" w:themeTint="99"/>
        </w:tcBorders>
      </w:tcPr>
    </w:tblStylePr>
    <w:tblStylePr w:type="lastRow">
      <w:rPr>
        <w:b/>
        <w:bCs/>
      </w:rPr>
      <w:tblPr/>
      <w:tcPr>
        <w:tcBorders>
          <w:top w:val="sing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BAD1FF" w:themeColor="accent5" w:themeTint="99"/>
        </w:tcBorders>
      </w:tcPr>
    </w:tblStylePr>
    <w:tblStylePr w:type="lastRow">
      <w:rPr>
        <w:b/>
        <w:bCs/>
      </w:rPr>
      <w:tblPr/>
      <w:tcPr>
        <w:tcBorders>
          <w:top w:val="sing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EAF0FF" w:themeColor="accent6" w:themeTint="99"/>
        </w:tcBorders>
      </w:tcPr>
    </w:tblStylePr>
    <w:tblStylePr w:type="lastRow">
      <w:rPr>
        <w:b/>
        <w:bCs/>
      </w:rPr>
      <w:tblPr/>
      <w:tcPr>
        <w:tcBorders>
          <w:top w:val="sing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C2E1A7" w:themeColor="accent1" w:themeTint="99"/>
        <w:bottom w:val="single" w:sz="4" w:space="0" w:color="C2E1A7" w:themeColor="accent1" w:themeTint="99"/>
        <w:insideH w:val="single" w:sz="4" w:space="0" w:color="C2E1A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FFC9C4" w:themeColor="accent2" w:themeTint="99"/>
        <w:bottom w:val="single" w:sz="4" w:space="0" w:color="FFC9C4" w:themeColor="accent2" w:themeTint="99"/>
        <w:insideH w:val="single" w:sz="4" w:space="0" w:color="FFC9C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FDC9B" w:themeColor="accent3" w:themeTint="99"/>
        <w:bottom w:val="single" w:sz="4" w:space="0" w:color="FFDC9B" w:themeColor="accent3" w:themeTint="99"/>
        <w:insideH w:val="single" w:sz="4" w:space="0" w:color="FFDC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FC4E1" w:themeColor="accent4" w:themeTint="99"/>
        <w:bottom w:val="single" w:sz="4" w:space="0" w:color="FFC4E1" w:themeColor="accent4" w:themeTint="99"/>
        <w:insideH w:val="single" w:sz="4" w:space="0" w:color="FFC4E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BAD1FF" w:themeColor="accent5" w:themeTint="99"/>
        <w:bottom w:val="single" w:sz="4" w:space="0" w:color="BAD1FF" w:themeColor="accent5" w:themeTint="99"/>
        <w:insideH w:val="single" w:sz="4" w:space="0" w:color="BAD1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EAF0FF" w:themeColor="accent6" w:themeTint="99"/>
        <w:bottom w:val="single" w:sz="4" w:space="0" w:color="EAF0FF" w:themeColor="accent6" w:themeTint="99"/>
        <w:insideH w:val="single" w:sz="4" w:space="0" w:color="EAF0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9ACE6E" w:themeColor="accent1"/>
        <w:left w:val="single" w:sz="4" w:space="0" w:color="9ACE6E" w:themeColor="accent1"/>
        <w:bottom w:val="single" w:sz="4" w:space="0" w:color="9ACE6E" w:themeColor="accent1"/>
        <w:right w:val="single" w:sz="4" w:space="0" w:color="9ACE6E" w:themeColor="accent1"/>
      </w:tblBorders>
    </w:tblPr>
    <w:tblStylePr w:type="firstRow">
      <w:rPr>
        <w:b/>
        <w:bCs/>
        <w:color w:val="FFFFFF" w:themeColor="background1"/>
      </w:rPr>
      <w:tblPr/>
      <w:tcPr>
        <w:shd w:val="clear" w:color="auto" w:fill="9ACE6E" w:themeFill="accent1"/>
      </w:tcPr>
    </w:tblStylePr>
    <w:tblStylePr w:type="lastRow">
      <w:rPr>
        <w:b/>
        <w:bCs/>
      </w:rPr>
      <w:tblPr/>
      <w:tcPr>
        <w:tcBorders>
          <w:top w:val="double" w:sz="4" w:space="0" w:color="9ACE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CE6E" w:themeColor="accent1"/>
          <w:right w:val="single" w:sz="4" w:space="0" w:color="9ACE6E" w:themeColor="accent1"/>
        </w:tcBorders>
      </w:tcPr>
    </w:tblStylePr>
    <w:tblStylePr w:type="band1Horz">
      <w:tblPr/>
      <w:tcPr>
        <w:tcBorders>
          <w:top w:val="single" w:sz="4" w:space="0" w:color="9ACE6E" w:themeColor="accent1"/>
          <w:bottom w:val="single" w:sz="4" w:space="0" w:color="9ACE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CE6E" w:themeColor="accent1"/>
          <w:left w:val="nil"/>
        </w:tcBorders>
      </w:tcPr>
    </w:tblStylePr>
    <w:tblStylePr w:type="swCell">
      <w:tblPr/>
      <w:tcPr>
        <w:tcBorders>
          <w:top w:val="double" w:sz="4" w:space="0" w:color="9ACE6E"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FFA69E" w:themeColor="accent2"/>
        <w:left w:val="single" w:sz="4" w:space="0" w:color="FFA69E" w:themeColor="accent2"/>
        <w:bottom w:val="single" w:sz="4" w:space="0" w:color="FFA69E" w:themeColor="accent2"/>
        <w:right w:val="single" w:sz="4" w:space="0" w:color="FFA69E" w:themeColor="accent2"/>
      </w:tblBorders>
    </w:tblPr>
    <w:tblStylePr w:type="firstRow">
      <w:rPr>
        <w:b/>
        <w:bCs/>
        <w:color w:val="FFFFFF" w:themeColor="background1"/>
      </w:rPr>
      <w:tblPr/>
      <w:tcPr>
        <w:shd w:val="clear" w:color="auto" w:fill="FFA69E" w:themeFill="accent2"/>
      </w:tcPr>
    </w:tblStylePr>
    <w:tblStylePr w:type="lastRow">
      <w:rPr>
        <w:b/>
        <w:bCs/>
      </w:rPr>
      <w:tblPr/>
      <w:tcPr>
        <w:tcBorders>
          <w:top w:val="double" w:sz="4" w:space="0" w:color="FFA69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69E" w:themeColor="accent2"/>
          <w:right w:val="single" w:sz="4" w:space="0" w:color="FFA69E" w:themeColor="accent2"/>
        </w:tcBorders>
      </w:tcPr>
    </w:tblStylePr>
    <w:tblStylePr w:type="band1Horz">
      <w:tblPr/>
      <w:tcPr>
        <w:tcBorders>
          <w:top w:val="single" w:sz="4" w:space="0" w:color="FFA69E" w:themeColor="accent2"/>
          <w:bottom w:val="single" w:sz="4" w:space="0" w:color="FFA69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69E" w:themeColor="accent2"/>
          <w:left w:val="nil"/>
        </w:tcBorders>
      </w:tcPr>
    </w:tblStylePr>
    <w:tblStylePr w:type="swCell">
      <w:tblPr/>
      <w:tcPr>
        <w:tcBorders>
          <w:top w:val="double" w:sz="4" w:space="0" w:color="FFA69E"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FFC759" w:themeColor="accent3"/>
        <w:left w:val="single" w:sz="4" w:space="0" w:color="FFC759" w:themeColor="accent3"/>
        <w:bottom w:val="single" w:sz="4" w:space="0" w:color="FFC759" w:themeColor="accent3"/>
        <w:right w:val="single" w:sz="4" w:space="0" w:color="FFC759" w:themeColor="accent3"/>
      </w:tblBorders>
    </w:tblPr>
    <w:tblStylePr w:type="firstRow">
      <w:rPr>
        <w:b/>
        <w:bCs/>
        <w:color w:val="FFFFFF" w:themeColor="background1"/>
      </w:rPr>
      <w:tblPr/>
      <w:tcPr>
        <w:shd w:val="clear" w:color="auto" w:fill="FFC759" w:themeFill="accent3"/>
      </w:tcPr>
    </w:tblStylePr>
    <w:tblStylePr w:type="lastRow">
      <w:rPr>
        <w:b/>
        <w:bCs/>
      </w:rPr>
      <w:tblPr/>
      <w:tcPr>
        <w:tcBorders>
          <w:top w:val="double" w:sz="4" w:space="0" w:color="FFC7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759" w:themeColor="accent3"/>
          <w:right w:val="single" w:sz="4" w:space="0" w:color="FFC759" w:themeColor="accent3"/>
        </w:tcBorders>
      </w:tcPr>
    </w:tblStylePr>
    <w:tblStylePr w:type="band1Horz">
      <w:tblPr/>
      <w:tcPr>
        <w:tcBorders>
          <w:top w:val="single" w:sz="4" w:space="0" w:color="FFC759" w:themeColor="accent3"/>
          <w:bottom w:val="single" w:sz="4" w:space="0" w:color="FFC7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759" w:themeColor="accent3"/>
          <w:left w:val="nil"/>
        </w:tcBorders>
      </w:tcPr>
    </w:tblStylePr>
    <w:tblStylePr w:type="swCell">
      <w:tblPr/>
      <w:tcPr>
        <w:tcBorders>
          <w:top w:val="double" w:sz="4" w:space="0" w:color="FFC759"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F9DCE" w:themeColor="accent4"/>
        <w:left w:val="single" w:sz="4" w:space="0" w:color="FF9DCE" w:themeColor="accent4"/>
        <w:bottom w:val="single" w:sz="4" w:space="0" w:color="FF9DCE" w:themeColor="accent4"/>
        <w:right w:val="single" w:sz="4" w:space="0" w:color="FF9DCE" w:themeColor="accent4"/>
      </w:tblBorders>
    </w:tblPr>
    <w:tblStylePr w:type="firstRow">
      <w:rPr>
        <w:b/>
        <w:bCs/>
        <w:color w:val="FFFFFF" w:themeColor="background1"/>
      </w:rPr>
      <w:tblPr/>
      <w:tcPr>
        <w:shd w:val="clear" w:color="auto" w:fill="FF9DCE" w:themeFill="accent4"/>
      </w:tcPr>
    </w:tblStylePr>
    <w:tblStylePr w:type="lastRow">
      <w:rPr>
        <w:b/>
        <w:bCs/>
      </w:rPr>
      <w:tblPr/>
      <w:tcPr>
        <w:tcBorders>
          <w:top w:val="double" w:sz="4" w:space="0" w:color="FF9DC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DCE" w:themeColor="accent4"/>
          <w:right w:val="single" w:sz="4" w:space="0" w:color="FF9DCE" w:themeColor="accent4"/>
        </w:tcBorders>
      </w:tcPr>
    </w:tblStylePr>
    <w:tblStylePr w:type="band1Horz">
      <w:tblPr/>
      <w:tcPr>
        <w:tcBorders>
          <w:top w:val="single" w:sz="4" w:space="0" w:color="FF9DCE" w:themeColor="accent4"/>
          <w:bottom w:val="single" w:sz="4" w:space="0" w:color="FF9DC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DCE" w:themeColor="accent4"/>
          <w:left w:val="nil"/>
        </w:tcBorders>
      </w:tcPr>
    </w:tblStylePr>
    <w:tblStylePr w:type="swCell">
      <w:tblPr/>
      <w:tcPr>
        <w:tcBorders>
          <w:top w:val="double" w:sz="4" w:space="0" w:color="FF9DCE"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8CB3FF" w:themeColor="accent5"/>
        <w:left w:val="single" w:sz="4" w:space="0" w:color="8CB3FF" w:themeColor="accent5"/>
        <w:bottom w:val="single" w:sz="4" w:space="0" w:color="8CB3FF" w:themeColor="accent5"/>
        <w:right w:val="single" w:sz="4" w:space="0" w:color="8CB3FF" w:themeColor="accent5"/>
      </w:tblBorders>
    </w:tblPr>
    <w:tblStylePr w:type="firstRow">
      <w:rPr>
        <w:b/>
        <w:bCs/>
        <w:color w:val="FFFFFF" w:themeColor="background1"/>
      </w:rPr>
      <w:tblPr/>
      <w:tcPr>
        <w:shd w:val="clear" w:color="auto" w:fill="8CB3FF" w:themeFill="accent5"/>
      </w:tcPr>
    </w:tblStylePr>
    <w:tblStylePr w:type="lastRow">
      <w:rPr>
        <w:b/>
        <w:bCs/>
      </w:rPr>
      <w:tblPr/>
      <w:tcPr>
        <w:tcBorders>
          <w:top w:val="double" w:sz="4" w:space="0" w:color="8CB3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B3FF" w:themeColor="accent5"/>
          <w:right w:val="single" w:sz="4" w:space="0" w:color="8CB3FF" w:themeColor="accent5"/>
        </w:tcBorders>
      </w:tcPr>
    </w:tblStylePr>
    <w:tblStylePr w:type="band1Horz">
      <w:tblPr/>
      <w:tcPr>
        <w:tcBorders>
          <w:top w:val="single" w:sz="4" w:space="0" w:color="8CB3FF" w:themeColor="accent5"/>
          <w:bottom w:val="single" w:sz="4" w:space="0" w:color="8CB3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B3FF" w:themeColor="accent5"/>
          <w:left w:val="nil"/>
        </w:tcBorders>
      </w:tcPr>
    </w:tblStylePr>
    <w:tblStylePr w:type="swCell">
      <w:tblPr/>
      <w:tcPr>
        <w:tcBorders>
          <w:top w:val="double" w:sz="4" w:space="0" w:color="8CB3FF"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DDE8FF" w:themeColor="accent6"/>
        <w:left w:val="single" w:sz="4" w:space="0" w:color="DDE8FF" w:themeColor="accent6"/>
        <w:bottom w:val="single" w:sz="4" w:space="0" w:color="DDE8FF" w:themeColor="accent6"/>
        <w:right w:val="single" w:sz="4" w:space="0" w:color="DDE8FF" w:themeColor="accent6"/>
      </w:tblBorders>
    </w:tblPr>
    <w:tblStylePr w:type="firstRow">
      <w:rPr>
        <w:b/>
        <w:bCs/>
        <w:color w:val="FFFFFF" w:themeColor="background1"/>
      </w:rPr>
      <w:tblPr/>
      <w:tcPr>
        <w:shd w:val="clear" w:color="auto" w:fill="DDE8FF" w:themeFill="accent6"/>
      </w:tcPr>
    </w:tblStylePr>
    <w:tblStylePr w:type="lastRow">
      <w:rPr>
        <w:b/>
        <w:bCs/>
      </w:rPr>
      <w:tblPr/>
      <w:tcPr>
        <w:tcBorders>
          <w:top w:val="double" w:sz="4" w:space="0" w:color="DDE8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E8FF" w:themeColor="accent6"/>
          <w:right w:val="single" w:sz="4" w:space="0" w:color="DDE8FF" w:themeColor="accent6"/>
        </w:tcBorders>
      </w:tcPr>
    </w:tblStylePr>
    <w:tblStylePr w:type="band1Horz">
      <w:tblPr/>
      <w:tcPr>
        <w:tcBorders>
          <w:top w:val="single" w:sz="4" w:space="0" w:color="DDE8FF" w:themeColor="accent6"/>
          <w:bottom w:val="single" w:sz="4" w:space="0" w:color="DDE8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E8FF" w:themeColor="accent6"/>
          <w:left w:val="nil"/>
        </w:tcBorders>
      </w:tcPr>
    </w:tblStylePr>
    <w:tblStylePr w:type="swCell">
      <w:tblPr/>
      <w:tcPr>
        <w:tcBorders>
          <w:top w:val="double" w:sz="4" w:space="0" w:color="DDE8FF"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tblBorders>
    </w:tblPr>
    <w:tblStylePr w:type="firstRow">
      <w:rPr>
        <w:b/>
        <w:bCs/>
        <w:color w:val="FFFFFF" w:themeColor="background1"/>
      </w:rPr>
      <w:tblPr/>
      <w:tcPr>
        <w:tcBorders>
          <w:top w:val="single" w:sz="4" w:space="0" w:color="9ACE6E" w:themeColor="accent1"/>
          <w:left w:val="single" w:sz="4" w:space="0" w:color="9ACE6E" w:themeColor="accent1"/>
          <w:bottom w:val="single" w:sz="4" w:space="0" w:color="9ACE6E" w:themeColor="accent1"/>
          <w:right w:val="single" w:sz="4" w:space="0" w:color="9ACE6E" w:themeColor="accent1"/>
          <w:insideH w:val="nil"/>
        </w:tcBorders>
        <w:shd w:val="clear" w:color="auto" w:fill="9ACE6E" w:themeFill="accent1"/>
      </w:tcPr>
    </w:tblStylePr>
    <w:tblStylePr w:type="lastRow">
      <w:rPr>
        <w:b/>
        <w:bCs/>
      </w:rPr>
      <w:tblPr/>
      <w:tcPr>
        <w:tcBorders>
          <w:top w:val="doub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tblBorders>
    </w:tblPr>
    <w:tblStylePr w:type="firstRow">
      <w:rPr>
        <w:b/>
        <w:bCs/>
        <w:color w:val="FFFFFF" w:themeColor="background1"/>
      </w:rPr>
      <w:tblPr/>
      <w:tcPr>
        <w:tcBorders>
          <w:top w:val="single" w:sz="4" w:space="0" w:color="FFA69E" w:themeColor="accent2"/>
          <w:left w:val="single" w:sz="4" w:space="0" w:color="FFA69E" w:themeColor="accent2"/>
          <w:bottom w:val="single" w:sz="4" w:space="0" w:color="FFA69E" w:themeColor="accent2"/>
          <w:right w:val="single" w:sz="4" w:space="0" w:color="FFA69E" w:themeColor="accent2"/>
          <w:insideH w:val="nil"/>
        </w:tcBorders>
        <w:shd w:val="clear" w:color="auto" w:fill="FFA69E" w:themeFill="accent2"/>
      </w:tcPr>
    </w:tblStylePr>
    <w:tblStylePr w:type="lastRow">
      <w:rPr>
        <w:b/>
        <w:bCs/>
      </w:rPr>
      <w:tblPr/>
      <w:tcPr>
        <w:tcBorders>
          <w:top w:val="doub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tblBorders>
    </w:tblPr>
    <w:tblStylePr w:type="firstRow">
      <w:rPr>
        <w:b/>
        <w:bCs/>
        <w:color w:val="FFFFFF" w:themeColor="background1"/>
      </w:rPr>
      <w:tblPr/>
      <w:tcPr>
        <w:tcBorders>
          <w:top w:val="single" w:sz="4" w:space="0" w:color="FFC759" w:themeColor="accent3"/>
          <w:left w:val="single" w:sz="4" w:space="0" w:color="FFC759" w:themeColor="accent3"/>
          <w:bottom w:val="single" w:sz="4" w:space="0" w:color="FFC759" w:themeColor="accent3"/>
          <w:right w:val="single" w:sz="4" w:space="0" w:color="FFC759" w:themeColor="accent3"/>
          <w:insideH w:val="nil"/>
        </w:tcBorders>
        <w:shd w:val="clear" w:color="auto" w:fill="FFC759" w:themeFill="accent3"/>
      </w:tcPr>
    </w:tblStylePr>
    <w:tblStylePr w:type="lastRow">
      <w:rPr>
        <w:b/>
        <w:bCs/>
      </w:rPr>
      <w:tblPr/>
      <w:tcPr>
        <w:tcBorders>
          <w:top w:val="doub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tblBorders>
    </w:tblPr>
    <w:tblStylePr w:type="firstRow">
      <w:rPr>
        <w:b/>
        <w:bCs/>
        <w:color w:val="FFFFFF" w:themeColor="background1"/>
      </w:rPr>
      <w:tblPr/>
      <w:tcPr>
        <w:tcBorders>
          <w:top w:val="single" w:sz="4" w:space="0" w:color="FF9DCE" w:themeColor="accent4"/>
          <w:left w:val="single" w:sz="4" w:space="0" w:color="FF9DCE" w:themeColor="accent4"/>
          <w:bottom w:val="single" w:sz="4" w:space="0" w:color="FF9DCE" w:themeColor="accent4"/>
          <w:right w:val="single" w:sz="4" w:space="0" w:color="FF9DCE" w:themeColor="accent4"/>
          <w:insideH w:val="nil"/>
        </w:tcBorders>
        <w:shd w:val="clear" w:color="auto" w:fill="FF9DCE" w:themeFill="accent4"/>
      </w:tcPr>
    </w:tblStylePr>
    <w:tblStylePr w:type="lastRow">
      <w:rPr>
        <w:b/>
        <w:bCs/>
      </w:rPr>
      <w:tblPr/>
      <w:tcPr>
        <w:tcBorders>
          <w:top w:val="doub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tblBorders>
    </w:tblPr>
    <w:tblStylePr w:type="firstRow">
      <w:rPr>
        <w:b/>
        <w:bCs/>
        <w:color w:val="FFFFFF" w:themeColor="background1"/>
      </w:rPr>
      <w:tblPr/>
      <w:tcPr>
        <w:tcBorders>
          <w:top w:val="single" w:sz="4" w:space="0" w:color="8CB3FF" w:themeColor="accent5"/>
          <w:left w:val="single" w:sz="4" w:space="0" w:color="8CB3FF" w:themeColor="accent5"/>
          <w:bottom w:val="single" w:sz="4" w:space="0" w:color="8CB3FF" w:themeColor="accent5"/>
          <w:right w:val="single" w:sz="4" w:space="0" w:color="8CB3FF" w:themeColor="accent5"/>
          <w:insideH w:val="nil"/>
        </w:tcBorders>
        <w:shd w:val="clear" w:color="auto" w:fill="8CB3FF" w:themeFill="accent5"/>
      </w:tcPr>
    </w:tblStylePr>
    <w:tblStylePr w:type="lastRow">
      <w:rPr>
        <w:b/>
        <w:bCs/>
      </w:rPr>
      <w:tblPr/>
      <w:tcPr>
        <w:tcBorders>
          <w:top w:val="doub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tblBorders>
    </w:tblPr>
    <w:tblStylePr w:type="firstRow">
      <w:rPr>
        <w:b/>
        <w:bCs/>
        <w:color w:val="FFFFFF" w:themeColor="background1"/>
      </w:rPr>
      <w:tblPr/>
      <w:tcPr>
        <w:tcBorders>
          <w:top w:val="single" w:sz="4" w:space="0" w:color="DDE8FF" w:themeColor="accent6"/>
          <w:left w:val="single" w:sz="4" w:space="0" w:color="DDE8FF" w:themeColor="accent6"/>
          <w:bottom w:val="single" w:sz="4" w:space="0" w:color="DDE8FF" w:themeColor="accent6"/>
          <w:right w:val="single" w:sz="4" w:space="0" w:color="DDE8FF" w:themeColor="accent6"/>
          <w:insideH w:val="nil"/>
        </w:tcBorders>
        <w:shd w:val="clear" w:color="auto" w:fill="DDE8FF" w:themeFill="accent6"/>
      </w:tcPr>
    </w:tblStylePr>
    <w:tblStylePr w:type="lastRow">
      <w:rPr>
        <w:b/>
        <w:bCs/>
      </w:rPr>
      <w:tblPr/>
      <w:tcPr>
        <w:tcBorders>
          <w:top w:val="doub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9ACE6E" w:themeColor="accent1"/>
        <w:left w:val="single" w:sz="24" w:space="0" w:color="9ACE6E" w:themeColor="accent1"/>
        <w:bottom w:val="single" w:sz="24" w:space="0" w:color="9ACE6E" w:themeColor="accent1"/>
        <w:right w:val="single" w:sz="24" w:space="0" w:color="9ACE6E" w:themeColor="accent1"/>
      </w:tblBorders>
    </w:tblPr>
    <w:tcPr>
      <w:shd w:val="clear" w:color="auto" w:fill="9ACE6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A69E" w:themeColor="accent2"/>
        <w:left w:val="single" w:sz="24" w:space="0" w:color="FFA69E" w:themeColor="accent2"/>
        <w:bottom w:val="single" w:sz="24" w:space="0" w:color="FFA69E" w:themeColor="accent2"/>
        <w:right w:val="single" w:sz="24" w:space="0" w:color="FFA69E" w:themeColor="accent2"/>
      </w:tblBorders>
    </w:tblPr>
    <w:tcPr>
      <w:shd w:val="clear" w:color="auto" w:fill="FFA69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C759" w:themeColor="accent3"/>
        <w:left w:val="single" w:sz="24" w:space="0" w:color="FFC759" w:themeColor="accent3"/>
        <w:bottom w:val="single" w:sz="24" w:space="0" w:color="FFC759" w:themeColor="accent3"/>
        <w:right w:val="single" w:sz="24" w:space="0" w:color="FFC759" w:themeColor="accent3"/>
      </w:tblBorders>
    </w:tblPr>
    <w:tcPr>
      <w:shd w:val="clear" w:color="auto" w:fill="FFC7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9DCE" w:themeColor="accent4"/>
        <w:left w:val="single" w:sz="24" w:space="0" w:color="FF9DCE" w:themeColor="accent4"/>
        <w:bottom w:val="single" w:sz="24" w:space="0" w:color="FF9DCE" w:themeColor="accent4"/>
        <w:right w:val="single" w:sz="24" w:space="0" w:color="FF9DCE" w:themeColor="accent4"/>
      </w:tblBorders>
    </w:tblPr>
    <w:tcPr>
      <w:shd w:val="clear" w:color="auto" w:fill="FF9DC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8CB3FF" w:themeColor="accent5"/>
        <w:left w:val="single" w:sz="24" w:space="0" w:color="8CB3FF" w:themeColor="accent5"/>
        <w:bottom w:val="single" w:sz="24" w:space="0" w:color="8CB3FF" w:themeColor="accent5"/>
        <w:right w:val="single" w:sz="24" w:space="0" w:color="8CB3FF" w:themeColor="accent5"/>
      </w:tblBorders>
    </w:tblPr>
    <w:tcPr>
      <w:shd w:val="clear" w:color="auto" w:fill="8CB3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DDE8FF" w:themeColor="accent6"/>
        <w:left w:val="single" w:sz="24" w:space="0" w:color="DDE8FF" w:themeColor="accent6"/>
        <w:bottom w:val="single" w:sz="24" w:space="0" w:color="DDE8FF" w:themeColor="accent6"/>
        <w:right w:val="single" w:sz="24" w:space="0" w:color="DDE8FF" w:themeColor="accent6"/>
      </w:tblBorders>
    </w:tblPr>
    <w:tcPr>
      <w:shd w:val="clear" w:color="auto" w:fill="DDE8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71B03B" w:themeColor="accent1" w:themeShade="BF"/>
    </w:rPr>
    <w:tblPr>
      <w:tblStyleRowBandSize w:val="1"/>
      <w:tblStyleColBandSize w:val="1"/>
      <w:tblBorders>
        <w:top w:val="single" w:sz="4" w:space="0" w:color="9ACE6E" w:themeColor="accent1"/>
        <w:bottom w:val="single" w:sz="4" w:space="0" w:color="9ACE6E" w:themeColor="accent1"/>
      </w:tblBorders>
    </w:tblPr>
    <w:tblStylePr w:type="firstRow">
      <w:rPr>
        <w:b/>
        <w:bCs/>
      </w:rPr>
      <w:tblPr/>
      <w:tcPr>
        <w:tcBorders>
          <w:bottom w:val="single" w:sz="4" w:space="0" w:color="9ACE6E" w:themeColor="accent1"/>
        </w:tcBorders>
      </w:tcPr>
    </w:tblStylePr>
    <w:tblStylePr w:type="lastRow">
      <w:rPr>
        <w:b/>
        <w:bCs/>
      </w:rPr>
      <w:tblPr/>
      <w:tcPr>
        <w:tcBorders>
          <w:top w:val="double" w:sz="4" w:space="0" w:color="9ACE6E" w:themeColor="accent1"/>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FF4636" w:themeColor="accent2" w:themeShade="BF"/>
    </w:rPr>
    <w:tblPr>
      <w:tblStyleRowBandSize w:val="1"/>
      <w:tblStyleColBandSize w:val="1"/>
      <w:tblBorders>
        <w:top w:val="single" w:sz="4" w:space="0" w:color="FFA69E" w:themeColor="accent2"/>
        <w:bottom w:val="single" w:sz="4" w:space="0" w:color="FFA69E" w:themeColor="accent2"/>
      </w:tblBorders>
    </w:tblPr>
    <w:tblStylePr w:type="firstRow">
      <w:rPr>
        <w:b/>
        <w:bCs/>
      </w:rPr>
      <w:tblPr/>
      <w:tcPr>
        <w:tcBorders>
          <w:bottom w:val="single" w:sz="4" w:space="0" w:color="FFA69E" w:themeColor="accent2"/>
        </w:tcBorders>
      </w:tcPr>
    </w:tblStylePr>
    <w:tblStylePr w:type="lastRow">
      <w:rPr>
        <w:b/>
        <w:bCs/>
      </w:rPr>
      <w:tblPr/>
      <w:tcPr>
        <w:tcBorders>
          <w:top w:val="double" w:sz="4" w:space="0" w:color="FFA69E" w:themeColor="accent2"/>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FFA802" w:themeColor="accent3" w:themeShade="BF"/>
    </w:rPr>
    <w:tblPr>
      <w:tblStyleRowBandSize w:val="1"/>
      <w:tblStyleColBandSize w:val="1"/>
      <w:tblBorders>
        <w:top w:val="single" w:sz="4" w:space="0" w:color="FFC759" w:themeColor="accent3"/>
        <w:bottom w:val="single" w:sz="4" w:space="0" w:color="FFC759" w:themeColor="accent3"/>
      </w:tblBorders>
    </w:tblPr>
    <w:tblStylePr w:type="firstRow">
      <w:rPr>
        <w:b/>
        <w:bCs/>
      </w:rPr>
      <w:tblPr/>
      <w:tcPr>
        <w:tcBorders>
          <w:bottom w:val="single" w:sz="4" w:space="0" w:color="FFC759" w:themeColor="accent3"/>
        </w:tcBorders>
      </w:tcPr>
    </w:tblStylePr>
    <w:tblStylePr w:type="lastRow">
      <w:rPr>
        <w:b/>
        <w:bCs/>
      </w:rPr>
      <w:tblPr/>
      <w:tcPr>
        <w:tcBorders>
          <w:top w:val="double" w:sz="4" w:space="0" w:color="FFC759" w:themeColor="accent3"/>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FF3599" w:themeColor="accent4" w:themeShade="BF"/>
    </w:rPr>
    <w:tblPr>
      <w:tblStyleRowBandSize w:val="1"/>
      <w:tblStyleColBandSize w:val="1"/>
      <w:tblBorders>
        <w:top w:val="single" w:sz="4" w:space="0" w:color="FF9DCE" w:themeColor="accent4"/>
        <w:bottom w:val="single" w:sz="4" w:space="0" w:color="FF9DCE" w:themeColor="accent4"/>
      </w:tblBorders>
    </w:tblPr>
    <w:tblStylePr w:type="firstRow">
      <w:rPr>
        <w:b/>
        <w:bCs/>
      </w:rPr>
      <w:tblPr/>
      <w:tcPr>
        <w:tcBorders>
          <w:bottom w:val="single" w:sz="4" w:space="0" w:color="FF9DCE" w:themeColor="accent4"/>
        </w:tcBorders>
      </w:tcPr>
    </w:tblStylePr>
    <w:tblStylePr w:type="lastRow">
      <w:rPr>
        <w:b/>
        <w:bCs/>
      </w:rPr>
      <w:tblPr/>
      <w:tcPr>
        <w:tcBorders>
          <w:top w:val="double" w:sz="4" w:space="0" w:color="FF9DCE" w:themeColor="accent4"/>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2870FF" w:themeColor="accent5" w:themeShade="BF"/>
    </w:rPr>
    <w:tblPr>
      <w:tblStyleRowBandSize w:val="1"/>
      <w:tblStyleColBandSize w:val="1"/>
      <w:tblBorders>
        <w:top w:val="single" w:sz="4" w:space="0" w:color="8CB3FF" w:themeColor="accent5"/>
        <w:bottom w:val="single" w:sz="4" w:space="0" w:color="8CB3FF" w:themeColor="accent5"/>
      </w:tblBorders>
    </w:tblPr>
    <w:tblStylePr w:type="firstRow">
      <w:rPr>
        <w:b/>
        <w:bCs/>
      </w:rPr>
      <w:tblPr/>
      <w:tcPr>
        <w:tcBorders>
          <w:bottom w:val="single" w:sz="4" w:space="0" w:color="8CB3FF" w:themeColor="accent5"/>
        </w:tcBorders>
      </w:tcPr>
    </w:tblStylePr>
    <w:tblStylePr w:type="lastRow">
      <w:rPr>
        <w:b/>
        <w:bCs/>
      </w:rPr>
      <w:tblPr/>
      <w:tcPr>
        <w:tcBorders>
          <w:top w:val="double" w:sz="4" w:space="0" w:color="8CB3FF" w:themeColor="accent5"/>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596FF" w:themeColor="accent6" w:themeShade="BF"/>
    </w:rPr>
    <w:tblPr>
      <w:tblStyleRowBandSize w:val="1"/>
      <w:tblStyleColBandSize w:val="1"/>
      <w:tblBorders>
        <w:top w:val="single" w:sz="4" w:space="0" w:color="DDE8FF" w:themeColor="accent6"/>
        <w:bottom w:val="single" w:sz="4" w:space="0" w:color="DDE8FF" w:themeColor="accent6"/>
      </w:tblBorders>
    </w:tblPr>
    <w:tblStylePr w:type="firstRow">
      <w:rPr>
        <w:b/>
        <w:bCs/>
      </w:rPr>
      <w:tblPr/>
      <w:tcPr>
        <w:tcBorders>
          <w:bottom w:val="single" w:sz="4" w:space="0" w:color="DDE8FF" w:themeColor="accent6"/>
        </w:tcBorders>
      </w:tcPr>
    </w:tblStylePr>
    <w:tblStylePr w:type="lastRow">
      <w:rPr>
        <w:b/>
        <w:bCs/>
      </w:rPr>
      <w:tblPr/>
      <w:tcPr>
        <w:tcBorders>
          <w:top w:val="double" w:sz="4" w:space="0" w:color="DDE8FF" w:themeColor="accent6"/>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71B0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CE6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CE6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CE6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CE6E" w:themeColor="accent1"/>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FF463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69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69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69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69E" w:themeColor="accent2"/>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FFA8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7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7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7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759" w:themeColor="accent3"/>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FF359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DC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DC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DC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DCE" w:themeColor="accent4"/>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2870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CB3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CB3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CB3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CB3FF" w:themeColor="accent5"/>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596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E8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E8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E8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E8FF" w:themeColor="accent6"/>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single" w:sz="8" w:space="0" w:color="B3DA92" w:themeColor="accent1" w:themeTint="BF"/>
        <w:insideV w:val="single" w:sz="8" w:space="0" w:color="B3DA92" w:themeColor="accent1" w:themeTint="BF"/>
      </w:tblBorders>
    </w:tblPr>
    <w:tcPr>
      <w:shd w:val="clear" w:color="auto" w:fill="E5F3DB" w:themeFill="accent1" w:themeFillTint="3F"/>
    </w:tcPr>
    <w:tblStylePr w:type="firstRow">
      <w:rPr>
        <w:b/>
        <w:bCs/>
      </w:rPr>
    </w:tblStylePr>
    <w:tblStylePr w:type="lastRow">
      <w:rPr>
        <w:b/>
        <w:bCs/>
      </w:rPr>
      <w:tblPr/>
      <w:tcPr>
        <w:tcBorders>
          <w:top w:val="single" w:sz="18" w:space="0" w:color="B3DA92" w:themeColor="accent1" w:themeTint="BF"/>
        </w:tcBorders>
      </w:tcPr>
    </w:tblStylePr>
    <w:tblStylePr w:type="firstCol">
      <w:rPr>
        <w:b/>
        <w:bCs/>
      </w:rPr>
    </w:tblStylePr>
    <w:tblStylePr w:type="lastCol">
      <w:rPr>
        <w:b/>
        <w:bCs/>
      </w:rPr>
    </w:tblStylePr>
    <w:tblStylePr w:type="band1Vert">
      <w:tblPr/>
      <w:tcPr>
        <w:shd w:val="clear" w:color="auto" w:fill="CCE6B6" w:themeFill="accent1" w:themeFillTint="7F"/>
      </w:tcPr>
    </w:tblStylePr>
    <w:tblStylePr w:type="band1Horz">
      <w:tblPr/>
      <w:tcPr>
        <w:shd w:val="clear" w:color="auto" w:fill="CCE6B6"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single" w:sz="8" w:space="0" w:color="FFBCB6" w:themeColor="accent2" w:themeTint="BF"/>
        <w:insideV w:val="single" w:sz="8" w:space="0" w:color="FFBCB6" w:themeColor="accent2" w:themeTint="BF"/>
      </w:tblBorders>
    </w:tblPr>
    <w:tcPr>
      <w:shd w:val="clear" w:color="auto" w:fill="FFE8E7" w:themeFill="accent2" w:themeFillTint="3F"/>
    </w:tcPr>
    <w:tblStylePr w:type="firstRow">
      <w:rPr>
        <w:b/>
        <w:bCs/>
      </w:rPr>
    </w:tblStylePr>
    <w:tblStylePr w:type="lastRow">
      <w:rPr>
        <w:b/>
        <w:bCs/>
      </w:rPr>
      <w:tblPr/>
      <w:tcPr>
        <w:tcBorders>
          <w:top w:val="single" w:sz="18" w:space="0" w:color="FFBCB6" w:themeColor="accent2" w:themeTint="BF"/>
        </w:tcBorders>
      </w:tcPr>
    </w:tblStylePr>
    <w:tblStylePr w:type="firstCol">
      <w:rPr>
        <w:b/>
        <w:bCs/>
      </w:rPr>
    </w:tblStylePr>
    <w:tblStylePr w:type="lastCol">
      <w:rPr>
        <w:b/>
        <w:bCs/>
      </w:rPr>
    </w:tblStylePr>
    <w:tblStylePr w:type="band1Vert">
      <w:tblPr/>
      <w:tcPr>
        <w:shd w:val="clear" w:color="auto" w:fill="FFD2CE" w:themeFill="accent2" w:themeFillTint="7F"/>
      </w:tcPr>
    </w:tblStylePr>
    <w:tblStylePr w:type="band1Horz">
      <w:tblPr/>
      <w:tcPr>
        <w:shd w:val="clear" w:color="auto" w:fill="FFD2CE"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single" w:sz="8" w:space="0" w:color="FFD482" w:themeColor="accent3" w:themeTint="BF"/>
        <w:insideV w:val="single" w:sz="8" w:space="0" w:color="FFD482" w:themeColor="accent3" w:themeTint="BF"/>
      </w:tblBorders>
    </w:tblPr>
    <w:tcPr>
      <w:shd w:val="clear" w:color="auto" w:fill="FFF0D5" w:themeFill="accent3" w:themeFillTint="3F"/>
    </w:tcPr>
    <w:tblStylePr w:type="firstRow">
      <w:rPr>
        <w:b/>
        <w:bCs/>
      </w:rPr>
    </w:tblStylePr>
    <w:tblStylePr w:type="lastRow">
      <w:rPr>
        <w:b/>
        <w:bCs/>
      </w:rPr>
      <w:tblPr/>
      <w:tcPr>
        <w:tcBorders>
          <w:top w:val="single" w:sz="18" w:space="0" w:color="FFD482" w:themeColor="accent3" w:themeTint="BF"/>
        </w:tcBorders>
      </w:tcPr>
    </w:tblStylePr>
    <w:tblStylePr w:type="firstCol">
      <w:rPr>
        <w:b/>
        <w:bCs/>
      </w:rPr>
    </w:tblStylePr>
    <w:tblStylePr w:type="lastCol">
      <w:rPr>
        <w:b/>
        <w:bCs/>
      </w:rPr>
    </w:tblStylePr>
    <w:tblStylePr w:type="band1Vert">
      <w:tblPr/>
      <w:tcPr>
        <w:shd w:val="clear" w:color="auto" w:fill="FFE2AC" w:themeFill="accent3" w:themeFillTint="7F"/>
      </w:tcPr>
    </w:tblStylePr>
    <w:tblStylePr w:type="band1Horz">
      <w:tblPr/>
      <w:tcPr>
        <w:shd w:val="clear" w:color="auto" w:fill="FFE2AC"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single" w:sz="8" w:space="0" w:color="FFB5DA" w:themeColor="accent4" w:themeTint="BF"/>
        <w:insideV w:val="single" w:sz="8" w:space="0" w:color="FFB5DA" w:themeColor="accent4" w:themeTint="BF"/>
      </w:tblBorders>
    </w:tblPr>
    <w:tcPr>
      <w:shd w:val="clear" w:color="auto" w:fill="FFE6F2" w:themeFill="accent4" w:themeFillTint="3F"/>
    </w:tcPr>
    <w:tblStylePr w:type="firstRow">
      <w:rPr>
        <w:b/>
        <w:bCs/>
      </w:rPr>
    </w:tblStylePr>
    <w:tblStylePr w:type="lastRow">
      <w:rPr>
        <w:b/>
        <w:bCs/>
      </w:rPr>
      <w:tblPr/>
      <w:tcPr>
        <w:tcBorders>
          <w:top w:val="single" w:sz="18" w:space="0" w:color="FFB5DA" w:themeColor="accent4" w:themeTint="BF"/>
        </w:tcBorders>
      </w:tcPr>
    </w:tblStylePr>
    <w:tblStylePr w:type="firstCol">
      <w:rPr>
        <w:b/>
        <w:bCs/>
      </w:rPr>
    </w:tblStylePr>
    <w:tblStylePr w:type="lastCol">
      <w:rPr>
        <w:b/>
        <w:bCs/>
      </w:rPr>
    </w:tblStylePr>
    <w:tblStylePr w:type="band1Vert">
      <w:tblPr/>
      <w:tcPr>
        <w:shd w:val="clear" w:color="auto" w:fill="FFCEE6" w:themeFill="accent4" w:themeFillTint="7F"/>
      </w:tcPr>
    </w:tblStylePr>
    <w:tblStylePr w:type="band1Horz">
      <w:tblPr/>
      <w:tcPr>
        <w:shd w:val="clear" w:color="auto" w:fill="FFCEE6"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single" w:sz="8" w:space="0" w:color="A8C5FF" w:themeColor="accent5" w:themeTint="BF"/>
        <w:insideV w:val="single" w:sz="8" w:space="0" w:color="A8C5FF" w:themeColor="accent5" w:themeTint="BF"/>
      </w:tblBorders>
    </w:tblPr>
    <w:tcPr>
      <w:shd w:val="clear" w:color="auto" w:fill="E2ECFF" w:themeFill="accent5" w:themeFillTint="3F"/>
    </w:tcPr>
    <w:tblStylePr w:type="firstRow">
      <w:rPr>
        <w:b/>
        <w:bCs/>
      </w:rPr>
    </w:tblStylePr>
    <w:tblStylePr w:type="lastRow">
      <w:rPr>
        <w:b/>
        <w:bCs/>
      </w:rPr>
      <w:tblPr/>
      <w:tcPr>
        <w:tcBorders>
          <w:top w:val="single" w:sz="18" w:space="0" w:color="A8C5FF" w:themeColor="accent5" w:themeTint="BF"/>
        </w:tcBorders>
      </w:tcPr>
    </w:tblStylePr>
    <w:tblStylePr w:type="firstCol">
      <w:rPr>
        <w:b/>
        <w:bCs/>
      </w:rPr>
    </w:tblStylePr>
    <w:tblStylePr w:type="lastCol">
      <w:rPr>
        <w:b/>
        <w:bCs/>
      </w:rPr>
    </w:tblStylePr>
    <w:tblStylePr w:type="band1Vert">
      <w:tblPr/>
      <w:tcPr>
        <w:shd w:val="clear" w:color="auto" w:fill="C5D9FF" w:themeFill="accent5" w:themeFillTint="7F"/>
      </w:tcPr>
    </w:tblStylePr>
    <w:tblStylePr w:type="band1Horz">
      <w:tblPr/>
      <w:tcPr>
        <w:shd w:val="clear" w:color="auto" w:fill="C5D9FF"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single" w:sz="8" w:space="0" w:color="E5EDFF" w:themeColor="accent6" w:themeTint="BF"/>
        <w:insideV w:val="single" w:sz="8" w:space="0" w:color="E5EDFF" w:themeColor="accent6" w:themeTint="BF"/>
      </w:tblBorders>
    </w:tblPr>
    <w:tcPr>
      <w:shd w:val="clear" w:color="auto" w:fill="F6F9FF" w:themeFill="accent6" w:themeFillTint="3F"/>
    </w:tcPr>
    <w:tblStylePr w:type="firstRow">
      <w:rPr>
        <w:b/>
        <w:bCs/>
      </w:rPr>
    </w:tblStylePr>
    <w:tblStylePr w:type="lastRow">
      <w:rPr>
        <w:b/>
        <w:bCs/>
      </w:rPr>
      <w:tblPr/>
      <w:tcPr>
        <w:tcBorders>
          <w:top w:val="single" w:sz="18" w:space="0" w:color="E5EDFF" w:themeColor="accent6" w:themeTint="BF"/>
        </w:tcBorders>
      </w:tcPr>
    </w:tblStylePr>
    <w:tblStylePr w:type="firstCol">
      <w:rPr>
        <w:b/>
        <w:bCs/>
      </w:rPr>
    </w:tblStylePr>
    <w:tblStylePr w:type="lastCol">
      <w:rPr>
        <w:b/>
        <w:bCs/>
      </w:rPr>
    </w:tblStylePr>
    <w:tblStylePr w:type="band1Vert">
      <w:tblPr/>
      <w:tcPr>
        <w:shd w:val="clear" w:color="auto" w:fill="EEF3FF" w:themeFill="accent6" w:themeFillTint="7F"/>
      </w:tcPr>
    </w:tblStylePr>
    <w:tblStylePr w:type="band1Horz">
      <w:tblPr/>
      <w:tcPr>
        <w:shd w:val="clear" w:color="auto" w:fill="EEF3F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insideH w:val="single" w:sz="8" w:space="0" w:color="9ACE6E" w:themeColor="accent1"/>
        <w:insideV w:val="single" w:sz="8" w:space="0" w:color="9ACE6E" w:themeColor="accent1"/>
      </w:tblBorders>
    </w:tblPr>
    <w:tcPr>
      <w:shd w:val="clear" w:color="auto" w:fill="E5F3DB" w:themeFill="accent1" w:themeFillTint="3F"/>
    </w:tcPr>
    <w:tblStylePr w:type="firstRow">
      <w:rPr>
        <w:b/>
        <w:bCs/>
        <w:color w:val="000000" w:themeColor="text1"/>
      </w:rPr>
      <w:tblPr/>
      <w:tcPr>
        <w:shd w:val="clear" w:color="auto" w:fill="F4FAF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5E1" w:themeFill="accent1" w:themeFillTint="33"/>
      </w:tcPr>
    </w:tblStylePr>
    <w:tblStylePr w:type="band1Vert">
      <w:tblPr/>
      <w:tcPr>
        <w:shd w:val="clear" w:color="auto" w:fill="CCE6B6" w:themeFill="accent1" w:themeFillTint="7F"/>
      </w:tcPr>
    </w:tblStylePr>
    <w:tblStylePr w:type="band1Horz">
      <w:tblPr/>
      <w:tcPr>
        <w:tcBorders>
          <w:insideH w:val="single" w:sz="6" w:space="0" w:color="9ACE6E" w:themeColor="accent1"/>
          <w:insideV w:val="single" w:sz="6" w:space="0" w:color="9ACE6E" w:themeColor="accent1"/>
        </w:tcBorders>
        <w:shd w:val="clear" w:color="auto" w:fill="CCE6B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insideH w:val="single" w:sz="8" w:space="0" w:color="FFA69E" w:themeColor="accent2"/>
        <w:insideV w:val="single" w:sz="8" w:space="0" w:color="FFA69E" w:themeColor="accent2"/>
      </w:tblBorders>
    </w:tblPr>
    <w:tcPr>
      <w:shd w:val="clear" w:color="auto" w:fill="FFE8E7" w:themeFill="accent2" w:themeFillTint="3F"/>
    </w:tcPr>
    <w:tblStylePr w:type="firstRow">
      <w:rPr>
        <w:b/>
        <w:bCs/>
        <w:color w:val="000000" w:themeColor="text1"/>
      </w:rPr>
      <w:tblPr/>
      <w:tcPr>
        <w:shd w:val="clear" w:color="auto" w:fill="FFF6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B" w:themeFill="accent2" w:themeFillTint="33"/>
      </w:tcPr>
    </w:tblStylePr>
    <w:tblStylePr w:type="band1Vert">
      <w:tblPr/>
      <w:tcPr>
        <w:shd w:val="clear" w:color="auto" w:fill="FFD2CE" w:themeFill="accent2" w:themeFillTint="7F"/>
      </w:tcPr>
    </w:tblStylePr>
    <w:tblStylePr w:type="band1Horz">
      <w:tblPr/>
      <w:tcPr>
        <w:tcBorders>
          <w:insideH w:val="single" w:sz="6" w:space="0" w:color="FFA69E" w:themeColor="accent2"/>
          <w:insideV w:val="single" w:sz="6" w:space="0" w:color="FFA69E" w:themeColor="accent2"/>
        </w:tcBorders>
        <w:shd w:val="clear" w:color="auto" w:fill="FFD2C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insideH w:val="single" w:sz="8" w:space="0" w:color="FFC759" w:themeColor="accent3"/>
        <w:insideV w:val="single" w:sz="8" w:space="0" w:color="FFC759" w:themeColor="accent3"/>
      </w:tblBorders>
    </w:tblPr>
    <w:tcPr>
      <w:shd w:val="clear" w:color="auto" w:fill="FFF0D5" w:themeFill="accent3" w:themeFillTint="3F"/>
    </w:tcPr>
    <w:tblStylePr w:type="firstRow">
      <w:rPr>
        <w:b/>
        <w:bCs/>
        <w:color w:val="000000" w:themeColor="text1"/>
      </w:rPr>
      <w:tblPr/>
      <w:tcPr>
        <w:shd w:val="clear" w:color="auto" w:fill="FFF9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DD" w:themeFill="accent3" w:themeFillTint="33"/>
      </w:tcPr>
    </w:tblStylePr>
    <w:tblStylePr w:type="band1Vert">
      <w:tblPr/>
      <w:tcPr>
        <w:shd w:val="clear" w:color="auto" w:fill="FFE2AC" w:themeFill="accent3" w:themeFillTint="7F"/>
      </w:tcPr>
    </w:tblStylePr>
    <w:tblStylePr w:type="band1Horz">
      <w:tblPr/>
      <w:tcPr>
        <w:tcBorders>
          <w:insideH w:val="single" w:sz="6" w:space="0" w:color="FFC759" w:themeColor="accent3"/>
          <w:insideV w:val="single" w:sz="6" w:space="0" w:color="FFC759" w:themeColor="accent3"/>
        </w:tcBorders>
        <w:shd w:val="clear" w:color="auto" w:fill="FFE2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insideH w:val="single" w:sz="8" w:space="0" w:color="FF9DCE" w:themeColor="accent4"/>
        <w:insideV w:val="single" w:sz="8" w:space="0" w:color="FF9DCE" w:themeColor="accent4"/>
      </w:tblBorders>
    </w:tblPr>
    <w:tcPr>
      <w:shd w:val="clear" w:color="auto" w:fill="FFE6F2" w:themeFill="accent4" w:themeFillTint="3F"/>
    </w:tcPr>
    <w:tblStylePr w:type="firstRow">
      <w:rPr>
        <w:b/>
        <w:bCs/>
        <w:color w:val="000000" w:themeColor="text1"/>
      </w:rPr>
      <w:tblPr/>
      <w:tcPr>
        <w:shd w:val="clear" w:color="auto" w:fill="FFF5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BF5" w:themeFill="accent4" w:themeFillTint="33"/>
      </w:tcPr>
    </w:tblStylePr>
    <w:tblStylePr w:type="band1Vert">
      <w:tblPr/>
      <w:tcPr>
        <w:shd w:val="clear" w:color="auto" w:fill="FFCEE6" w:themeFill="accent4" w:themeFillTint="7F"/>
      </w:tcPr>
    </w:tblStylePr>
    <w:tblStylePr w:type="band1Horz">
      <w:tblPr/>
      <w:tcPr>
        <w:tcBorders>
          <w:insideH w:val="single" w:sz="6" w:space="0" w:color="FF9DCE" w:themeColor="accent4"/>
          <w:insideV w:val="single" w:sz="6" w:space="0" w:color="FF9DCE" w:themeColor="accent4"/>
        </w:tcBorders>
        <w:shd w:val="clear" w:color="auto" w:fill="FFCEE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insideH w:val="single" w:sz="8" w:space="0" w:color="8CB3FF" w:themeColor="accent5"/>
        <w:insideV w:val="single" w:sz="8" w:space="0" w:color="8CB3FF" w:themeColor="accent5"/>
      </w:tblBorders>
    </w:tblPr>
    <w:tcPr>
      <w:shd w:val="clear" w:color="auto" w:fill="E2ECFF" w:themeFill="accent5" w:themeFillTint="3F"/>
    </w:tcPr>
    <w:tblStylePr w:type="firstRow">
      <w:rPr>
        <w:b/>
        <w:bCs/>
        <w:color w:val="000000" w:themeColor="text1"/>
      </w:rPr>
      <w:tblPr/>
      <w:tcPr>
        <w:shd w:val="clear" w:color="auto" w:fill="F3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FFF" w:themeFill="accent5" w:themeFillTint="33"/>
      </w:tcPr>
    </w:tblStylePr>
    <w:tblStylePr w:type="band1Vert">
      <w:tblPr/>
      <w:tcPr>
        <w:shd w:val="clear" w:color="auto" w:fill="C5D9FF" w:themeFill="accent5" w:themeFillTint="7F"/>
      </w:tcPr>
    </w:tblStylePr>
    <w:tblStylePr w:type="band1Horz">
      <w:tblPr/>
      <w:tcPr>
        <w:tcBorders>
          <w:insideH w:val="single" w:sz="6" w:space="0" w:color="8CB3FF" w:themeColor="accent5"/>
          <w:insideV w:val="single" w:sz="6" w:space="0" w:color="8CB3FF" w:themeColor="accent5"/>
        </w:tcBorders>
        <w:shd w:val="clear" w:color="auto" w:fill="C5D9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insideH w:val="single" w:sz="8" w:space="0" w:color="DDE8FF" w:themeColor="accent6"/>
        <w:insideV w:val="single" w:sz="8" w:space="0" w:color="DDE8FF" w:themeColor="accent6"/>
      </w:tblBorders>
    </w:tblPr>
    <w:tcPr>
      <w:shd w:val="clear" w:color="auto" w:fill="F6F9FF" w:themeFill="accent6" w:themeFillTint="3F"/>
    </w:tcPr>
    <w:tblStylePr w:type="firstRow">
      <w:rPr>
        <w:b/>
        <w:bCs/>
        <w:color w:val="000000" w:themeColor="text1"/>
      </w:rPr>
      <w:tblPr/>
      <w:tcPr>
        <w:shd w:val="clear" w:color="auto" w:fill="FBFC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F" w:themeFill="accent6" w:themeFillTint="33"/>
      </w:tcPr>
    </w:tblStylePr>
    <w:tblStylePr w:type="band1Vert">
      <w:tblPr/>
      <w:tcPr>
        <w:shd w:val="clear" w:color="auto" w:fill="EEF3FF" w:themeFill="accent6" w:themeFillTint="7F"/>
      </w:tcPr>
    </w:tblStylePr>
    <w:tblStylePr w:type="band1Horz">
      <w:tblPr/>
      <w:tcPr>
        <w:tcBorders>
          <w:insideH w:val="single" w:sz="6" w:space="0" w:color="DDE8FF" w:themeColor="accent6"/>
          <w:insideV w:val="single" w:sz="6" w:space="0" w:color="DDE8FF" w:themeColor="accent6"/>
        </w:tcBorders>
        <w:shd w:val="clear" w:color="auto" w:fill="EEF3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3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CE6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CE6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CE6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CE6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6B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6B6"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8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69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69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69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69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2C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2CE"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7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7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7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7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2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2AC"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6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DC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DC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DC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DC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EE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EE6"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C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B3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B3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B3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B3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9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9FF"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9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E8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E8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E8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E8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F3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F3F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E437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9ACE6E" w:themeColor="accent1"/>
        <w:bottom w:val="single" w:sz="8" w:space="0" w:color="9ACE6E" w:themeColor="accent1"/>
      </w:tblBorders>
    </w:tblPr>
    <w:tblStylePr w:type="firstRow">
      <w:rPr>
        <w:rFonts w:asciiTheme="majorHAnsi" w:eastAsiaTheme="majorEastAsia" w:hAnsiTheme="majorHAnsi" w:cstheme="majorBidi"/>
      </w:rPr>
      <w:tblPr/>
      <w:tcPr>
        <w:tcBorders>
          <w:top w:val="nil"/>
          <w:bottom w:val="single" w:sz="8" w:space="0" w:color="9ACE6E" w:themeColor="accent1"/>
        </w:tcBorders>
      </w:tcPr>
    </w:tblStylePr>
    <w:tblStylePr w:type="lastRow">
      <w:rPr>
        <w:b/>
        <w:bCs/>
        <w:color w:val="1E4371" w:themeColor="text2"/>
      </w:rPr>
      <w:tblPr/>
      <w:tcPr>
        <w:tcBorders>
          <w:top w:val="single" w:sz="8" w:space="0" w:color="9ACE6E" w:themeColor="accent1"/>
          <w:bottom w:val="single" w:sz="8" w:space="0" w:color="9ACE6E" w:themeColor="accent1"/>
        </w:tcBorders>
      </w:tcPr>
    </w:tblStylePr>
    <w:tblStylePr w:type="firstCol">
      <w:rPr>
        <w:b/>
        <w:bCs/>
      </w:rPr>
    </w:tblStylePr>
    <w:tblStylePr w:type="lastCol">
      <w:rPr>
        <w:b/>
        <w:bCs/>
      </w:rPr>
      <w:tblPr/>
      <w:tcPr>
        <w:tcBorders>
          <w:top w:val="single" w:sz="8" w:space="0" w:color="9ACE6E" w:themeColor="accent1"/>
          <w:bottom w:val="single" w:sz="8" w:space="0" w:color="9ACE6E" w:themeColor="accent1"/>
        </w:tcBorders>
      </w:tcPr>
    </w:tblStylePr>
    <w:tblStylePr w:type="band1Vert">
      <w:tblPr/>
      <w:tcPr>
        <w:shd w:val="clear" w:color="auto" w:fill="E5F3DB" w:themeFill="accent1" w:themeFillTint="3F"/>
      </w:tcPr>
    </w:tblStylePr>
    <w:tblStylePr w:type="band1Horz">
      <w:tblPr/>
      <w:tcPr>
        <w:shd w:val="clear" w:color="auto" w:fill="E5F3DB"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FFA69E" w:themeColor="accent2"/>
        <w:bottom w:val="single" w:sz="8" w:space="0" w:color="FFA69E" w:themeColor="accent2"/>
      </w:tblBorders>
    </w:tblPr>
    <w:tblStylePr w:type="firstRow">
      <w:rPr>
        <w:rFonts w:asciiTheme="majorHAnsi" w:eastAsiaTheme="majorEastAsia" w:hAnsiTheme="majorHAnsi" w:cstheme="majorBidi"/>
      </w:rPr>
      <w:tblPr/>
      <w:tcPr>
        <w:tcBorders>
          <w:top w:val="nil"/>
          <w:bottom w:val="single" w:sz="8" w:space="0" w:color="FFA69E" w:themeColor="accent2"/>
        </w:tcBorders>
      </w:tcPr>
    </w:tblStylePr>
    <w:tblStylePr w:type="lastRow">
      <w:rPr>
        <w:b/>
        <w:bCs/>
        <w:color w:val="1E4371" w:themeColor="text2"/>
      </w:rPr>
      <w:tblPr/>
      <w:tcPr>
        <w:tcBorders>
          <w:top w:val="single" w:sz="8" w:space="0" w:color="FFA69E" w:themeColor="accent2"/>
          <w:bottom w:val="single" w:sz="8" w:space="0" w:color="FFA69E" w:themeColor="accent2"/>
        </w:tcBorders>
      </w:tcPr>
    </w:tblStylePr>
    <w:tblStylePr w:type="firstCol">
      <w:rPr>
        <w:b/>
        <w:bCs/>
      </w:rPr>
    </w:tblStylePr>
    <w:tblStylePr w:type="lastCol">
      <w:rPr>
        <w:b/>
        <w:bCs/>
      </w:rPr>
      <w:tblPr/>
      <w:tcPr>
        <w:tcBorders>
          <w:top w:val="single" w:sz="8" w:space="0" w:color="FFA69E" w:themeColor="accent2"/>
          <w:bottom w:val="single" w:sz="8" w:space="0" w:color="FFA69E" w:themeColor="accent2"/>
        </w:tcBorders>
      </w:tcPr>
    </w:tblStylePr>
    <w:tblStylePr w:type="band1Vert">
      <w:tblPr/>
      <w:tcPr>
        <w:shd w:val="clear" w:color="auto" w:fill="FFE8E7" w:themeFill="accent2" w:themeFillTint="3F"/>
      </w:tcPr>
    </w:tblStylePr>
    <w:tblStylePr w:type="band1Horz">
      <w:tblPr/>
      <w:tcPr>
        <w:shd w:val="clear" w:color="auto" w:fill="FFE8E7"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FFC759" w:themeColor="accent3"/>
        <w:bottom w:val="single" w:sz="8" w:space="0" w:color="FFC759" w:themeColor="accent3"/>
      </w:tblBorders>
    </w:tblPr>
    <w:tblStylePr w:type="firstRow">
      <w:rPr>
        <w:rFonts w:asciiTheme="majorHAnsi" w:eastAsiaTheme="majorEastAsia" w:hAnsiTheme="majorHAnsi" w:cstheme="majorBidi"/>
      </w:rPr>
      <w:tblPr/>
      <w:tcPr>
        <w:tcBorders>
          <w:top w:val="nil"/>
          <w:bottom w:val="single" w:sz="8" w:space="0" w:color="FFC759" w:themeColor="accent3"/>
        </w:tcBorders>
      </w:tcPr>
    </w:tblStylePr>
    <w:tblStylePr w:type="lastRow">
      <w:rPr>
        <w:b/>
        <w:bCs/>
        <w:color w:val="1E4371" w:themeColor="text2"/>
      </w:rPr>
      <w:tblPr/>
      <w:tcPr>
        <w:tcBorders>
          <w:top w:val="single" w:sz="8" w:space="0" w:color="FFC759" w:themeColor="accent3"/>
          <w:bottom w:val="single" w:sz="8" w:space="0" w:color="FFC759" w:themeColor="accent3"/>
        </w:tcBorders>
      </w:tcPr>
    </w:tblStylePr>
    <w:tblStylePr w:type="firstCol">
      <w:rPr>
        <w:b/>
        <w:bCs/>
      </w:rPr>
    </w:tblStylePr>
    <w:tblStylePr w:type="lastCol">
      <w:rPr>
        <w:b/>
        <w:bCs/>
      </w:rPr>
      <w:tblPr/>
      <w:tcPr>
        <w:tcBorders>
          <w:top w:val="single" w:sz="8" w:space="0" w:color="FFC759" w:themeColor="accent3"/>
          <w:bottom w:val="single" w:sz="8" w:space="0" w:color="FFC759" w:themeColor="accent3"/>
        </w:tcBorders>
      </w:tcPr>
    </w:tblStylePr>
    <w:tblStylePr w:type="band1Vert">
      <w:tblPr/>
      <w:tcPr>
        <w:shd w:val="clear" w:color="auto" w:fill="FFF0D5" w:themeFill="accent3" w:themeFillTint="3F"/>
      </w:tcPr>
    </w:tblStylePr>
    <w:tblStylePr w:type="band1Horz">
      <w:tblPr/>
      <w:tcPr>
        <w:shd w:val="clear" w:color="auto" w:fill="FFF0D5"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F9DCE" w:themeColor="accent4"/>
        <w:bottom w:val="single" w:sz="8" w:space="0" w:color="FF9DCE" w:themeColor="accent4"/>
      </w:tblBorders>
    </w:tblPr>
    <w:tblStylePr w:type="firstRow">
      <w:rPr>
        <w:rFonts w:asciiTheme="majorHAnsi" w:eastAsiaTheme="majorEastAsia" w:hAnsiTheme="majorHAnsi" w:cstheme="majorBidi"/>
      </w:rPr>
      <w:tblPr/>
      <w:tcPr>
        <w:tcBorders>
          <w:top w:val="nil"/>
          <w:bottom w:val="single" w:sz="8" w:space="0" w:color="FF9DCE" w:themeColor="accent4"/>
        </w:tcBorders>
      </w:tcPr>
    </w:tblStylePr>
    <w:tblStylePr w:type="lastRow">
      <w:rPr>
        <w:b/>
        <w:bCs/>
        <w:color w:val="1E4371" w:themeColor="text2"/>
      </w:rPr>
      <w:tblPr/>
      <w:tcPr>
        <w:tcBorders>
          <w:top w:val="single" w:sz="8" w:space="0" w:color="FF9DCE" w:themeColor="accent4"/>
          <w:bottom w:val="single" w:sz="8" w:space="0" w:color="FF9DCE" w:themeColor="accent4"/>
        </w:tcBorders>
      </w:tcPr>
    </w:tblStylePr>
    <w:tblStylePr w:type="firstCol">
      <w:rPr>
        <w:b/>
        <w:bCs/>
      </w:rPr>
    </w:tblStylePr>
    <w:tblStylePr w:type="lastCol">
      <w:rPr>
        <w:b/>
        <w:bCs/>
      </w:rPr>
      <w:tblPr/>
      <w:tcPr>
        <w:tcBorders>
          <w:top w:val="single" w:sz="8" w:space="0" w:color="FF9DCE" w:themeColor="accent4"/>
          <w:bottom w:val="single" w:sz="8" w:space="0" w:color="FF9DCE" w:themeColor="accent4"/>
        </w:tcBorders>
      </w:tcPr>
    </w:tblStylePr>
    <w:tblStylePr w:type="band1Vert">
      <w:tblPr/>
      <w:tcPr>
        <w:shd w:val="clear" w:color="auto" w:fill="FFE6F2" w:themeFill="accent4" w:themeFillTint="3F"/>
      </w:tcPr>
    </w:tblStylePr>
    <w:tblStylePr w:type="band1Horz">
      <w:tblPr/>
      <w:tcPr>
        <w:shd w:val="clear" w:color="auto" w:fill="FFE6F2"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8CB3FF" w:themeColor="accent5"/>
        <w:bottom w:val="single" w:sz="8" w:space="0" w:color="8CB3FF" w:themeColor="accent5"/>
      </w:tblBorders>
    </w:tblPr>
    <w:tblStylePr w:type="firstRow">
      <w:rPr>
        <w:rFonts w:asciiTheme="majorHAnsi" w:eastAsiaTheme="majorEastAsia" w:hAnsiTheme="majorHAnsi" w:cstheme="majorBidi"/>
      </w:rPr>
      <w:tblPr/>
      <w:tcPr>
        <w:tcBorders>
          <w:top w:val="nil"/>
          <w:bottom w:val="single" w:sz="8" w:space="0" w:color="8CB3FF" w:themeColor="accent5"/>
        </w:tcBorders>
      </w:tcPr>
    </w:tblStylePr>
    <w:tblStylePr w:type="lastRow">
      <w:rPr>
        <w:b/>
        <w:bCs/>
        <w:color w:val="1E4371" w:themeColor="text2"/>
      </w:rPr>
      <w:tblPr/>
      <w:tcPr>
        <w:tcBorders>
          <w:top w:val="single" w:sz="8" w:space="0" w:color="8CB3FF" w:themeColor="accent5"/>
          <w:bottom w:val="single" w:sz="8" w:space="0" w:color="8CB3FF" w:themeColor="accent5"/>
        </w:tcBorders>
      </w:tcPr>
    </w:tblStylePr>
    <w:tblStylePr w:type="firstCol">
      <w:rPr>
        <w:b/>
        <w:bCs/>
      </w:rPr>
    </w:tblStylePr>
    <w:tblStylePr w:type="lastCol">
      <w:rPr>
        <w:b/>
        <w:bCs/>
      </w:rPr>
      <w:tblPr/>
      <w:tcPr>
        <w:tcBorders>
          <w:top w:val="single" w:sz="8" w:space="0" w:color="8CB3FF" w:themeColor="accent5"/>
          <w:bottom w:val="single" w:sz="8" w:space="0" w:color="8CB3FF" w:themeColor="accent5"/>
        </w:tcBorders>
      </w:tcPr>
    </w:tblStylePr>
    <w:tblStylePr w:type="band1Vert">
      <w:tblPr/>
      <w:tcPr>
        <w:shd w:val="clear" w:color="auto" w:fill="E2ECFF" w:themeFill="accent5" w:themeFillTint="3F"/>
      </w:tcPr>
    </w:tblStylePr>
    <w:tblStylePr w:type="band1Horz">
      <w:tblPr/>
      <w:tcPr>
        <w:shd w:val="clear" w:color="auto" w:fill="E2ECFF"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DDE8FF" w:themeColor="accent6"/>
        <w:bottom w:val="single" w:sz="8" w:space="0" w:color="DDE8FF" w:themeColor="accent6"/>
      </w:tblBorders>
    </w:tblPr>
    <w:tblStylePr w:type="firstRow">
      <w:rPr>
        <w:rFonts w:asciiTheme="majorHAnsi" w:eastAsiaTheme="majorEastAsia" w:hAnsiTheme="majorHAnsi" w:cstheme="majorBidi"/>
      </w:rPr>
      <w:tblPr/>
      <w:tcPr>
        <w:tcBorders>
          <w:top w:val="nil"/>
          <w:bottom w:val="single" w:sz="8" w:space="0" w:color="DDE8FF" w:themeColor="accent6"/>
        </w:tcBorders>
      </w:tcPr>
    </w:tblStylePr>
    <w:tblStylePr w:type="lastRow">
      <w:rPr>
        <w:b/>
        <w:bCs/>
        <w:color w:val="1E4371" w:themeColor="text2"/>
      </w:rPr>
      <w:tblPr/>
      <w:tcPr>
        <w:tcBorders>
          <w:top w:val="single" w:sz="8" w:space="0" w:color="DDE8FF" w:themeColor="accent6"/>
          <w:bottom w:val="single" w:sz="8" w:space="0" w:color="DDE8FF" w:themeColor="accent6"/>
        </w:tcBorders>
      </w:tcPr>
    </w:tblStylePr>
    <w:tblStylePr w:type="firstCol">
      <w:rPr>
        <w:b/>
        <w:bCs/>
      </w:rPr>
    </w:tblStylePr>
    <w:tblStylePr w:type="lastCol">
      <w:rPr>
        <w:b/>
        <w:bCs/>
      </w:rPr>
      <w:tblPr/>
      <w:tcPr>
        <w:tcBorders>
          <w:top w:val="single" w:sz="8" w:space="0" w:color="DDE8FF" w:themeColor="accent6"/>
          <w:bottom w:val="single" w:sz="8" w:space="0" w:color="DDE8FF" w:themeColor="accent6"/>
        </w:tcBorders>
      </w:tcPr>
    </w:tblStylePr>
    <w:tblStylePr w:type="band1Vert">
      <w:tblPr/>
      <w:tcPr>
        <w:shd w:val="clear" w:color="auto" w:fill="F6F9FF" w:themeFill="accent6" w:themeFillTint="3F"/>
      </w:tcPr>
    </w:tblStylePr>
    <w:tblStylePr w:type="band1Horz">
      <w:tblPr/>
      <w:tcPr>
        <w:shd w:val="clear" w:color="auto" w:fill="F6F9F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tblBorders>
    </w:tblPr>
    <w:tblStylePr w:type="firstRow">
      <w:rPr>
        <w:sz w:val="24"/>
        <w:szCs w:val="24"/>
      </w:rPr>
      <w:tblPr/>
      <w:tcPr>
        <w:tcBorders>
          <w:top w:val="nil"/>
          <w:left w:val="nil"/>
          <w:bottom w:val="single" w:sz="24" w:space="0" w:color="9ACE6E" w:themeColor="accent1"/>
          <w:right w:val="nil"/>
          <w:insideH w:val="nil"/>
          <w:insideV w:val="nil"/>
        </w:tcBorders>
        <w:shd w:val="clear" w:color="auto" w:fill="FFFFFF" w:themeFill="background1"/>
      </w:tcPr>
    </w:tblStylePr>
    <w:tblStylePr w:type="lastRow">
      <w:tblPr/>
      <w:tcPr>
        <w:tcBorders>
          <w:top w:val="single" w:sz="8" w:space="0" w:color="9ACE6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CE6E" w:themeColor="accent1"/>
          <w:insideH w:val="nil"/>
          <w:insideV w:val="nil"/>
        </w:tcBorders>
        <w:shd w:val="clear" w:color="auto" w:fill="FFFFFF" w:themeFill="background1"/>
      </w:tcPr>
    </w:tblStylePr>
    <w:tblStylePr w:type="lastCol">
      <w:tblPr/>
      <w:tcPr>
        <w:tcBorders>
          <w:top w:val="nil"/>
          <w:left w:val="single" w:sz="8" w:space="0" w:color="9ACE6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3DB" w:themeFill="accent1" w:themeFillTint="3F"/>
      </w:tcPr>
    </w:tblStylePr>
    <w:tblStylePr w:type="band1Horz">
      <w:tblPr/>
      <w:tcPr>
        <w:tcBorders>
          <w:top w:val="nil"/>
          <w:bottom w:val="nil"/>
          <w:insideH w:val="nil"/>
          <w:insideV w:val="nil"/>
        </w:tcBorders>
        <w:shd w:val="clear" w:color="auto" w:fill="E5F3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tblBorders>
    </w:tblPr>
    <w:tblStylePr w:type="firstRow">
      <w:rPr>
        <w:sz w:val="24"/>
        <w:szCs w:val="24"/>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tblPr/>
      <w:tcPr>
        <w:tcBorders>
          <w:top w:val="single" w:sz="8" w:space="0" w:color="FFA69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69E" w:themeColor="accent2"/>
          <w:insideH w:val="nil"/>
          <w:insideV w:val="nil"/>
        </w:tcBorders>
        <w:shd w:val="clear" w:color="auto" w:fill="FFFFFF" w:themeFill="background1"/>
      </w:tcPr>
    </w:tblStylePr>
    <w:tblStylePr w:type="lastCol">
      <w:tblPr/>
      <w:tcPr>
        <w:tcBorders>
          <w:top w:val="nil"/>
          <w:left w:val="single" w:sz="8" w:space="0" w:color="FFA69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8E7" w:themeFill="accent2" w:themeFillTint="3F"/>
      </w:tcPr>
    </w:tblStylePr>
    <w:tblStylePr w:type="band1Horz">
      <w:tblPr/>
      <w:tcPr>
        <w:tcBorders>
          <w:top w:val="nil"/>
          <w:bottom w:val="nil"/>
          <w:insideH w:val="nil"/>
          <w:insideV w:val="nil"/>
        </w:tcBorders>
        <w:shd w:val="clear" w:color="auto" w:fill="FFE8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tblBorders>
    </w:tblPr>
    <w:tblStylePr w:type="firstRow">
      <w:rPr>
        <w:sz w:val="24"/>
        <w:szCs w:val="24"/>
      </w:rPr>
      <w:tblPr/>
      <w:tcPr>
        <w:tcBorders>
          <w:top w:val="nil"/>
          <w:left w:val="nil"/>
          <w:bottom w:val="single" w:sz="24" w:space="0" w:color="FFC759" w:themeColor="accent3"/>
          <w:right w:val="nil"/>
          <w:insideH w:val="nil"/>
          <w:insideV w:val="nil"/>
        </w:tcBorders>
        <w:shd w:val="clear" w:color="auto" w:fill="FFFFFF" w:themeFill="background1"/>
      </w:tcPr>
    </w:tblStylePr>
    <w:tblStylePr w:type="lastRow">
      <w:tblPr/>
      <w:tcPr>
        <w:tcBorders>
          <w:top w:val="single" w:sz="8" w:space="0" w:color="FFC7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759" w:themeColor="accent3"/>
          <w:insideH w:val="nil"/>
          <w:insideV w:val="nil"/>
        </w:tcBorders>
        <w:shd w:val="clear" w:color="auto" w:fill="FFFFFF" w:themeFill="background1"/>
      </w:tcPr>
    </w:tblStylePr>
    <w:tblStylePr w:type="lastCol">
      <w:tblPr/>
      <w:tcPr>
        <w:tcBorders>
          <w:top w:val="nil"/>
          <w:left w:val="single" w:sz="8" w:space="0" w:color="FFC7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D5" w:themeFill="accent3" w:themeFillTint="3F"/>
      </w:tcPr>
    </w:tblStylePr>
    <w:tblStylePr w:type="band1Horz">
      <w:tblPr/>
      <w:tcPr>
        <w:tcBorders>
          <w:top w:val="nil"/>
          <w:bottom w:val="nil"/>
          <w:insideH w:val="nil"/>
          <w:insideV w:val="nil"/>
        </w:tcBorders>
        <w:shd w:val="clear" w:color="auto" w:fill="FFF0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tblBorders>
    </w:tblPr>
    <w:tblStylePr w:type="firstRow">
      <w:rPr>
        <w:sz w:val="24"/>
        <w:szCs w:val="24"/>
      </w:rPr>
      <w:tblPr/>
      <w:tcPr>
        <w:tcBorders>
          <w:top w:val="nil"/>
          <w:left w:val="nil"/>
          <w:bottom w:val="single" w:sz="24" w:space="0" w:color="FF9DCE" w:themeColor="accent4"/>
          <w:right w:val="nil"/>
          <w:insideH w:val="nil"/>
          <w:insideV w:val="nil"/>
        </w:tcBorders>
        <w:shd w:val="clear" w:color="auto" w:fill="FFFFFF" w:themeFill="background1"/>
      </w:tcPr>
    </w:tblStylePr>
    <w:tblStylePr w:type="lastRow">
      <w:tblPr/>
      <w:tcPr>
        <w:tcBorders>
          <w:top w:val="single" w:sz="8" w:space="0" w:color="FF9DC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DCE" w:themeColor="accent4"/>
          <w:insideH w:val="nil"/>
          <w:insideV w:val="nil"/>
        </w:tcBorders>
        <w:shd w:val="clear" w:color="auto" w:fill="FFFFFF" w:themeFill="background1"/>
      </w:tcPr>
    </w:tblStylePr>
    <w:tblStylePr w:type="lastCol">
      <w:tblPr/>
      <w:tcPr>
        <w:tcBorders>
          <w:top w:val="nil"/>
          <w:left w:val="single" w:sz="8" w:space="0" w:color="FF9DC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6F2" w:themeFill="accent4" w:themeFillTint="3F"/>
      </w:tcPr>
    </w:tblStylePr>
    <w:tblStylePr w:type="band1Horz">
      <w:tblPr/>
      <w:tcPr>
        <w:tcBorders>
          <w:top w:val="nil"/>
          <w:bottom w:val="nil"/>
          <w:insideH w:val="nil"/>
          <w:insideV w:val="nil"/>
        </w:tcBorders>
        <w:shd w:val="clear" w:color="auto" w:fill="FFE6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tblBorders>
    </w:tblPr>
    <w:tblStylePr w:type="firstRow">
      <w:rPr>
        <w:sz w:val="24"/>
        <w:szCs w:val="24"/>
      </w:rPr>
      <w:tblPr/>
      <w:tcPr>
        <w:tcBorders>
          <w:top w:val="nil"/>
          <w:left w:val="nil"/>
          <w:bottom w:val="single" w:sz="24" w:space="0" w:color="8CB3FF" w:themeColor="accent5"/>
          <w:right w:val="nil"/>
          <w:insideH w:val="nil"/>
          <w:insideV w:val="nil"/>
        </w:tcBorders>
        <w:shd w:val="clear" w:color="auto" w:fill="FFFFFF" w:themeFill="background1"/>
      </w:tcPr>
    </w:tblStylePr>
    <w:tblStylePr w:type="lastRow">
      <w:tblPr/>
      <w:tcPr>
        <w:tcBorders>
          <w:top w:val="single" w:sz="8" w:space="0" w:color="8CB3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B3FF" w:themeColor="accent5"/>
          <w:insideH w:val="nil"/>
          <w:insideV w:val="nil"/>
        </w:tcBorders>
        <w:shd w:val="clear" w:color="auto" w:fill="FFFFFF" w:themeFill="background1"/>
      </w:tcPr>
    </w:tblStylePr>
    <w:tblStylePr w:type="lastCol">
      <w:tblPr/>
      <w:tcPr>
        <w:tcBorders>
          <w:top w:val="nil"/>
          <w:left w:val="single" w:sz="8" w:space="0" w:color="8CB3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CFF" w:themeFill="accent5" w:themeFillTint="3F"/>
      </w:tcPr>
    </w:tblStylePr>
    <w:tblStylePr w:type="band1Horz">
      <w:tblPr/>
      <w:tcPr>
        <w:tcBorders>
          <w:top w:val="nil"/>
          <w:bottom w:val="nil"/>
          <w:insideH w:val="nil"/>
          <w:insideV w:val="nil"/>
        </w:tcBorders>
        <w:shd w:val="clear" w:color="auto" w:fill="E2EC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tblBorders>
    </w:tblPr>
    <w:tblStylePr w:type="firstRow">
      <w:rPr>
        <w:sz w:val="24"/>
        <w:szCs w:val="24"/>
      </w:rPr>
      <w:tblPr/>
      <w:tcPr>
        <w:tcBorders>
          <w:top w:val="nil"/>
          <w:left w:val="nil"/>
          <w:bottom w:val="single" w:sz="24" w:space="0" w:color="DDE8FF" w:themeColor="accent6"/>
          <w:right w:val="nil"/>
          <w:insideH w:val="nil"/>
          <w:insideV w:val="nil"/>
        </w:tcBorders>
        <w:shd w:val="clear" w:color="auto" w:fill="FFFFFF" w:themeFill="background1"/>
      </w:tcPr>
    </w:tblStylePr>
    <w:tblStylePr w:type="lastRow">
      <w:tblPr/>
      <w:tcPr>
        <w:tcBorders>
          <w:top w:val="single" w:sz="8" w:space="0" w:color="DDE8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E8FF" w:themeColor="accent6"/>
          <w:insideH w:val="nil"/>
          <w:insideV w:val="nil"/>
        </w:tcBorders>
        <w:shd w:val="clear" w:color="auto" w:fill="FFFFFF" w:themeFill="background1"/>
      </w:tcPr>
    </w:tblStylePr>
    <w:tblStylePr w:type="lastCol">
      <w:tblPr/>
      <w:tcPr>
        <w:tcBorders>
          <w:top w:val="nil"/>
          <w:left w:val="single" w:sz="8" w:space="0" w:color="DDE8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9FF" w:themeFill="accent6" w:themeFillTint="3F"/>
      </w:tcPr>
    </w:tblStylePr>
    <w:tblStylePr w:type="band1Horz">
      <w:tblPr/>
      <w:tcPr>
        <w:tcBorders>
          <w:top w:val="nil"/>
          <w:bottom w:val="nil"/>
          <w:insideH w:val="nil"/>
          <w:insideV w:val="nil"/>
        </w:tcBorders>
        <w:shd w:val="clear" w:color="auto" w:fill="F6F9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single" w:sz="8" w:space="0" w:color="B3DA92" w:themeColor="accent1" w:themeTint="BF"/>
      </w:tblBorders>
    </w:tblPr>
    <w:tblStylePr w:type="firstRow">
      <w:pPr>
        <w:spacing w:before="0" w:after="0" w:line="240" w:lineRule="auto"/>
      </w:pPr>
      <w:rPr>
        <w:b/>
        <w:bCs/>
        <w:color w:val="FFFFFF" w:themeColor="background1"/>
      </w:rPr>
      <w:tblPr/>
      <w:tcPr>
        <w:tc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nil"/>
          <w:insideV w:val="nil"/>
        </w:tcBorders>
        <w:shd w:val="clear" w:color="auto" w:fill="9ACE6E" w:themeFill="accent1"/>
      </w:tcPr>
    </w:tblStylePr>
    <w:tblStylePr w:type="lastRow">
      <w:pPr>
        <w:spacing w:before="0" w:after="0" w:line="240" w:lineRule="auto"/>
      </w:pPr>
      <w:rPr>
        <w:b/>
        <w:bCs/>
      </w:rPr>
      <w:tblPr/>
      <w:tcPr>
        <w:tcBorders>
          <w:top w:val="double" w:sz="6"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3DB" w:themeFill="accent1" w:themeFillTint="3F"/>
      </w:tcPr>
    </w:tblStylePr>
    <w:tblStylePr w:type="band1Horz">
      <w:tblPr/>
      <w:tcPr>
        <w:tcBorders>
          <w:insideH w:val="nil"/>
          <w:insideV w:val="nil"/>
        </w:tcBorders>
        <w:shd w:val="clear" w:color="auto" w:fill="E5F3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single" w:sz="8" w:space="0" w:color="FFBCB6" w:themeColor="accent2" w:themeTint="BF"/>
      </w:tblBorders>
    </w:tblPr>
    <w:tblStylePr w:type="firstRow">
      <w:pPr>
        <w:spacing w:before="0" w:after="0" w:line="240" w:lineRule="auto"/>
      </w:pPr>
      <w:rPr>
        <w:b/>
        <w:bCs/>
        <w:color w:val="FFFFFF" w:themeColor="background1"/>
      </w:rPr>
      <w:tblPr/>
      <w:tcPr>
        <w:tc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nil"/>
          <w:insideV w:val="nil"/>
        </w:tcBorders>
        <w:shd w:val="clear" w:color="auto" w:fill="FFA69E" w:themeFill="accent2"/>
      </w:tcPr>
    </w:tblStylePr>
    <w:tblStylePr w:type="lastRow">
      <w:pPr>
        <w:spacing w:before="0" w:after="0" w:line="240" w:lineRule="auto"/>
      </w:pPr>
      <w:rPr>
        <w:b/>
        <w:bCs/>
      </w:rPr>
      <w:tblPr/>
      <w:tcPr>
        <w:tcBorders>
          <w:top w:val="double" w:sz="6"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8E7" w:themeFill="accent2" w:themeFillTint="3F"/>
      </w:tcPr>
    </w:tblStylePr>
    <w:tblStylePr w:type="band1Horz">
      <w:tblPr/>
      <w:tcPr>
        <w:tcBorders>
          <w:insideH w:val="nil"/>
          <w:insideV w:val="nil"/>
        </w:tcBorders>
        <w:shd w:val="clear" w:color="auto" w:fill="FFE8E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single" w:sz="8" w:space="0" w:color="FFD482" w:themeColor="accent3" w:themeTint="BF"/>
      </w:tblBorders>
    </w:tblPr>
    <w:tblStylePr w:type="firstRow">
      <w:pPr>
        <w:spacing w:before="0" w:after="0" w:line="240" w:lineRule="auto"/>
      </w:pPr>
      <w:rPr>
        <w:b/>
        <w:bCs/>
        <w:color w:val="FFFFFF" w:themeColor="background1"/>
      </w:rPr>
      <w:tblPr/>
      <w:tcPr>
        <w:tc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nil"/>
          <w:insideV w:val="nil"/>
        </w:tcBorders>
        <w:shd w:val="clear" w:color="auto" w:fill="FFC759" w:themeFill="accent3"/>
      </w:tcPr>
    </w:tblStylePr>
    <w:tblStylePr w:type="lastRow">
      <w:pPr>
        <w:spacing w:before="0" w:after="0" w:line="240" w:lineRule="auto"/>
      </w:pPr>
      <w:rPr>
        <w:b/>
        <w:bCs/>
      </w:rPr>
      <w:tblPr/>
      <w:tcPr>
        <w:tcBorders>
          <w:top w:val="double" w:sz="6"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0D5" w:themeFill="accent3" w:themeFillTint="3F"/>
      </w:tcPr>
    </w:tblStylePr>
    <w:tblStylePr w:type="band1Horz">
      <w:tblPr/>
      <w:tcPr>
        <w:tcBorders>
          <w:insideH w:val="nil"/>
          <w:insideV w:val="nil"/>
        </w:tcBorders>
        <w:shd w:val="clear" w:color="auto" w:fill="FFF0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single" w:sz="8" w:space="0" w:color="FFB5DA" w:themeColor="accent4" w:themeTint="BF"/>
      </w:tblBorders>
    </w:tblPr>
    <w:tblStylePr w:type="firstRow">
      <w:pPr>
        <w:spacing w:before="0" w:after="0" w:line="240" w:lineRule="auto"/>
      </w:pPr>
      <w:rPr>
        <w:b/>
        <w:bCs/>
        <w:color w:val="FFFFFF" w:themeColor="background1"/>
      </w:rPr>
      <w:tblPr/>
      <w:tcPr>
        <w:tc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nil"/>
          <w:insideV w:val="nil"/>
        </w:tcBorders>
        <w:shd w:val="clear" w:color="auto" w:fill="FF9DCE" w:themeFill="accent4"/>
      </w:tcPr>
    </w:tblStylePr>
    <w:tblStylePr w:type="lastRow">
      <w:pPr>
        <w:spacing w:before="0" w:after="0" w:line="240" w:lineRule="auto"/>
      </w:pPr>
      <w:rPr>
        <w:b/>
        <w:bCs/>
      </w:rPr>
      <w:tblPr/>
      <w:tcPr>
        <w:tcBorders>
          <w:top w:val="double" w:sz="6"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6F2" w:themeFill="accent4" w:themeFillTint="3F"/>
      </w:tcPr>
    </w:tblStylePr>
    <w:tblStylePr w:type="band1Horz">
      <w:tblPr/>
      <w:tcPr>
        <w:tcBorders>
          <w:insideH w:val="nil"/>
          <w:insideV w:val="nil"/>
        </w:tcBorders>
        <w:shd w:val="clear" w:color="auto" w:fill="FFE6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single" w:sz="8" w:space="0" w:color="A8C5FF" w:themeColor="accent5" w:themeTint="BF"/>
      </w:tblBorders>
    </w:tblPr>
    <w:tblStylePr w:type="firstRow">
      <w:pPr>
        <w:spacing w:before="0" w:after="0" w:line="240" w:lineRule="auto"/>
      </w:pPr>
      <w:rPr>
        <w:b/>
        <w:bCs/>
        <w:color w:val="FFFFFF" w:themeColor="background1"/>
      </w:rPr>
      <w:tblPr/>
      <w:tcPr>
        <w:tc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nil"/>
          <w:insideV w:val="nil"/>
        </w:tcBorders>
        <w:shd w:val="clear" w:color="auto" w:fill="8CB3FF" w:themeFill="accent5"/>
      </w:tcPr>
    </w:tblStylePr>
    <w:tblStylePr w:type="lastRow">
      <w:pPr>
        <w:spacing w:before="0" w:after="0" w:line="240" w:lineRule="auto"/>
      </w:pPr>
      <w:rPr>
        <w:b/>
        <w:bCs/>
      </w:rPr>
      <w:tblPr/>
      <w:tcPr>
        <w:tcBorders>
          <w:top w:val="double" w:sz="6"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2ECFF" w:themeFill="accent5" w:themeFillTint="3F"/>
      </w:tcPr>
    </w:tblStylePr>
    <w:tblStylePr w:type="band1Horz">
      <w:tblPr/>
      <w:tcPr>
        <w:tcBorders>
          <w:insideH w:val="nil"/>
          <w:insideV w:val="nil"/>
        </w:tcBorders>
        <w:shd w:val="clear" w:color="auto" w:fill="E2EC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single" w:sz="8" w:space="0" w:color="E5EDFF" w:themeColor="accent6" w:themeTint="BF"/>
      </w:tblBorders>
    </w:tblPr>
    <w:tblStylePr w:type="firstRow">
      <w:pPr>
        <w:spacing w:before="0" w:after="0" w:line="240" w:lineRule="auto"/>
      </w:pPr>
      <w:rPr>
        <w:b/>
        <w:bCs/>
        <w:color w:val="FFFFFF" w:themeColor="background1"/>
      </w:rPr>
      <w:tblPr/>
      <w:tcPr>
        <w:tc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nil"/>
          <w:insideV w:val="nil"/>
        </w:tcBorders>
        <w:shd w:val="clear" w:color="auto" w:fill="DDE8FF" w:themeFill="accent6"/>
      </w:tcPr>
    </w:tblStylePr>
    <w:tblStylePr w:type="lastRow">
      <w:pPr>
        <w:spacing w:before="0" w:after="0" w:line="240" w:lineRule="auto"/>
      </w:pPr>
      <w:rPr>
        <w:b/>
        <w:bCs/>
      </w:rPr>
      <w:tblPr/>
      <w:tcPr>
        <w:tcBorders>
          <w:top w:val="double" w:sz="6"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F9FF" w:themeFill="accent6" w:themeFillTint="3F"/>
      </w:tcPr>
    </w:tblStylePr>
    <w:tblStylePr w:type="band1Horz">
      <w:tblPr/>
      <w:tcPr>
        <w:tcBorders>
          <w:insideH w:val="nil"/>
          <w:insideV w:val="nil"/>
        </w:tcBorders>
        <w:shd w:val="clear" w:color="auto" w:fill="F6F9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CE6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CE6E" w:themeFill="accent1"/>
      </w:tcPr>
    </w:tblStylePr>
    <w:tblStylePr w:type="lastCol">
      <w:rPr>
        <w:b/>
        <w:bCs/>
        <w:color w:val="FFFFFF" w:themeColor="background1"/>
      </w:rPr>
      <w:tblPr/>
      <w:tcPr>
        <w:tcBorders>
          <w:left w:val="nil"/>
          <w:right w:val="nil"/>
          <w:insideH w:val="nil"/>
          <w:insideV w:val="nil"/>
        </w:tcBorders>
        <w:shd w:val="clear" w:color="auto" w:fill="9ACE6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69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69E" w:themeFill="accent2"/>
      </w:tcPr>
    </w:tblStylePr>
    <w:tblStylePr w:type="lastCol">
      <w:rPr>
        <w:b/>
        <w:bCs/>
        <w:color w:val="FFFFFF" w:themeColor="background1"/>
      </w:rPr>
      <w:tblPr/>
      <w:tcPr>
        <w:tcBorders>
          <w:left w:val="nil"/>
          <w:right w:val="nil"/>
          <w:insideH w:val="nil"/>
          <w:insideV w:val="nil"/>
        </w:tcBorders>
        <w:shd w:val="clear" w:color="auto" w:fill="FFA69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7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759" w:themeFill="accent3"/>
      </w:tcPr>
    </w:tblStylePr>
    <w:tblStylePr w:type="lastCol">
      <w:rPr>
        <w:b/>
        <w:bCs/>
        <w:color w:val="FFFFFF" w:themeColor="background1"/>
      </w:rPr>
      <w:tblPr/>
      <w:tcPr>
        <w:tcBorders>
          <w:left w:val="nil"/>
          <w:right w:val="nil"/>
          <w:insideH w:val="nil"/>
          <w:insideV w:val="nil"/>
        </w:tcBorders>
        <w:shd w:val="clear" w:color="auto" w:fill="FFC7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DC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DCE" w:themeFill="accent4"/>
      </w:tcPr>
    </w:tblStylePr>
    <w:tblStylePr w:type="lastCol">
      <w:rPr>
        <w:b/>
        <w:bCs/>
        <w:color w:val="FFFFFF" w:themeColor="background1"/>
      </w:rPr>
      <w:tblPr/>
      <w:tcPr>
        <w:tcBorders>
          <w:left w:val="nil"/>
          <w:right w:val="nil"/>
          <w:insideH w:val="nil"/>
          <w:insideV w:val="nil"/>
        </w:tcBorders>
        <w:shd w:val="clear" w:color="auto" w:fill="FF9DC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B3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B3FF" w:themeFill="accent5"/>
      </w:tcPr>
    </w:tblStylePr>
    <w:tblStylePr w:type="lastCol">
      <w:rPr>
        <w:b/>
        <w:bCs/>
        <w:color w:val="FFFFFF" w:themeColor="background1"/>
      </w:rPr>
      <w:tblPr/>
      <w:tcPr>
        <w:tcBorders>
          <w:left w:val="nil"/>
          <w:right w:val="nil"/>
          <w:insideH w:val="nil"/>
          <w:insideV w:val="nil"/>
        </w:tcBorders>
        <w:shd w:val="clear" w:color="auto" w:fill="8CB3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E8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E8FF" w:themeFill="accent6"/>
      </w:tcPr>
    </w:tblStylePr>
    <w:tblStylePr w:type="lastCol">
      <w:rPr>
        <w:b/>
        <w:bCs/>
        <w:color w:val="FFFFFF" w:themeColor="background1"/>
      </w:rPr>
      <w:tblPr/>
      <w:tcPr>
        <w:tcBorders>
          <w:left w:val="nil"/>
          <w:right w:val="nil"/>
          <w:insideH w:val="nil"/>
          <w:insideV w:val="nil"/>
        </w:tcBorders>
        <w:shd w:val="clear" w:color="auto" w:fill="DDE8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link w:val="NoteHeadingChar"/>
    <w:qFormat/>
    <w:rsid w:val="00801B89"/>
    <w:pPr>
      <w:spacing w:before="0" w:after="0" w:line="240" w:lineRule="atLeast"/>
    </w:pPr>
    <w:rPr>
      <w:sz w:val="16"/>
    </w:rPr>
  </w:style>
  <w:style w:type="character" w:customStyle="1" w:styleId="NoteHeadingChar">
    <w:name w:val="Note Heading Char"/>
    <w:basedOn w:val="DefaultParagraphFont"/>
    <w:link w:val="NoteHeading"/>
    <w:rsid w:val="00801B89"/>
    <w:rPr>
      <w:sz w:val="16"/>
    </w:r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4F0638"/>
    <w:rPr>
      <w:sz w:val="16"/>
    </w:rPr>
  </w:style>
  <w:style w:type="character" w:customStyle="1" w:styleId="TOC1Char">
    <w:name w:val="TOC 1 Char"/>
    <w:basedOn w:val="DefaultParagraphFont"/>
    <w:link w:val="TOC1"/>
    <w:uiPriority w:val="39"/>
    <w:rsid w:val="00402A2C"/>
    <w:rPr>
      <w:rFonts w:asciiTheme="majorHAnsi" w:hAnsiTheme="majorHAnsi"/>
      <w:bCs/>
      <w:sz w:val="24"/>
    </w:rPr>
  </w:style>
  <w:style w:type="paragraph" w:styleId="EndnoteText">
    <w:name w:val="endnote text"/>
    <w:basedOn w:val="Normal"/>
    <w:link w:val="EndnoteTextChar"/>
    <w:semiHidden/>
    <w:unhideWhenUsed/>
    <w:rsid w:val="00E36C40"/>
    <w:pPr>
      <w:spacing w:before="0" w:after="0" w:line="240" w:lineRule="auto"/>
    </w:pPr>
  </w:style>
  <w:style w:type="paragraph" w:styleId="ListContinue4">
    <w:name w:val="List Continue 4"/>
    <w:basedOn w:val="Normal"/>
    <w:semiHidden/>
    <w:rsid w:val="0058629F"/>
    <w:pPr>
      <w:ind w:left="1814"/>
    </w:pPr>
  </w:style>
  <w:style w:type="paragraph" w:styleId="ListContinue5">
    <w:name w:val="List Continue 5"/>
    <w:basedOn w:val="Normal"/>
    <w:semiHidden/>
    <w:rsid w:val="0058629F"/>
    <w:pPr>
      <w:ind w:left="2268"/>
    </w:pPr>
  </w:style>
  <w:style w:type="paragraph" w:customStyle="1" w:styleId="Heading2Non-TOC">
    <w:name w:val="Heading 2 (Non-TOC)"/>
    <w:basedOn w:val="Heading2"/>
    <w:qFormat/>
    <w:rsid w:val="00402A2C"/>
    <w:pPr>
      <w:outlineLvl w:val="9"/>
    </w:pPr>
  </w:style>
  <w:style w:type="paragraph" w:customStyle="1" w:styleId="Source">
    <w:name w:val="Source"/>
    <w:basedOn w:val="Normal"/>
    <w:qFormat/>
    <w:rsid w:val="00801B89"/>
    <w:pPr>
      <w:numPr>
        <w:numId w:val="6"/>
      </w:numPr>
      <w:spacing w:line="240" w:lineRule="atLeast"/>
    </w:pPr>
    <w:rPr>
      <w:sz w:val="16"/>
    </w:r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teHeading"/>
    <w:qFormat/>
    <w:rsid w:val="00D91D02"/>
    <w:pPr>
      <w:numPr>
        <w:numId w:val="5"/>
      </w:numPr>
    </w:pPr>
  </w:style>
  <w:style w:type="table" w:styleId="TableGrid">
    <w:name w:val="Table Grid"/>
    <w:basedOn w:val="TableNormal"/>
    <w:rsid w:val="008B5E3A"/>
    <w:tblPr>
      <w:tblStyleRowBandSize w:val="1"/>
      <w:tblBorders>
        <w:bottom w:val="single" w:sz="2" w:space="0" w:color="000000"/>
      </w:tblBorders>
      <w:tblCellMar>
        <w:left w:w="57" w:type="dxa"/>
        <w:right w:w="57" w:type="dxa"/>
      </w:tblCellMar>
    </w:tblPr>
    <w:tcPr>
      <w:shd w:val="clear" w:color="auto" w:fill="EEF4FF" w:themeFill="background2"/>
    </w:tcPr>
    <w:tblStylePr w:type="firstRow">
      <w:rPr>
        <w:b/>
        <w:color w:val="FFFFFF" w:themeColor="background1"/>
      </w:rPr>
      <w:tblPr/>
      <w:tcPr>
        <w:shd w:val="clear" w:color="auto" w:fill="1E4371" w:themeFill="text2"/>
      </w:tcPr>
    </w:tblStylePr>
    <w:tblStylePr w:type="firstCol">
      <w:rPr>
        <w:rFonts w:asciiTheme="majorHAnsi" w:hAnsiTheme="majorHAnsi"/>
      </w:rPr>
    </w:tblStylePr>
    <w:tblStylePr w:type="band2Horz">
      <w:tblPr/>
      <w:tcPr>
        <w:shd w:val="clear" w:color="auto" w:fill="DDE8FF" w:themeFill="accent6"/>
      </w:tcPr>
    </w:tblStylePr>
  </w:style>
  <w:style w:type="paragraph" w:customStyle="1" w:styleId="FooterLine">
    <w:name w:val="Footer Line"/>
    <w:basedOn w:val="Footer"/>
    <w:next w:val="Footer"/>
    <w:uiPriority w:val="99"/>
    <w:rsid w:val="004F0638"/>
    <w:pPr>
      <w:pBdr>
        <w:top w:val="single" w:sz="4" w:space="1" w:color="1E4371" w:themeColor="text2"/>
      </w:pBdr>
      <w:spacing w:before="360"/>
    </w:pPr>
    <w:rPr>
      <w:rFonts w:cstheme="minorHAnsi"/>
    </w:rPr>
  </w:style>
  <w:style w:type="paragraph" w:customStyle="1" w:styleId="FooterPageNumber">
    <w:name w:val="Footer Page Number"/>
    <w:basedOn w:val="Footer"/>
    <w:next w:val="Footer"/>
    <w:uiPriority w:val="99"/>
    <w:rsid w:val="003413EC"/>
    <w:pPr>
      <w:framePr w:wrap="around" w:vAnchor="text" w:hAnchor="margin" w:xAlign="right" w:y="1"/>
      <w:spacing w:before="120"/>
      <w:ind w:right="28"/>
      <w:jc w:val="right"/>
    </w:pPr>
    <w:rPr>
      <w:rFonts w:asciiTheme="majorHAnsi" w:hAnsiTheme="majorHAnsi"/>
      <w:noProof/>
    </w:rPr>
  </w:style>
  <w:style w:type="character" w:customStyle="1" w:styleId="Semibold">
    <w:name w:val="_Semibold"/>
    <w:uiPriority w:val="2"/>
    <w:qFormat/>
    <w:rsid w:val="003413EC"/>
    <w:rPr>
      <w:rFonts w:asciiTheme="majorHAnsi" w:hAnsiTheme="majorHAnsi"/>
    </w:rPr>
  </w:style>
  <w:style w:type="paragraph" w:styleId="BodyTextIndent">
    <w:name w:val="Body Text Indent"/>
    <w:basedOn w:val="Normal"/>
    <w:link w:val="BodyTextIndentChar"/>
    <w:unhideWhenUsed/>
    <w:qFormat/>
    <w:rsid w:val="00FC07C3"/>
    <w:pPr>
      <w:ind w:left="567"/>
    </w:pPr>
  </w:style>
  <w:style w:type="character" w:customStyle="1" w:styleId="BodyTextIndentChar">
    <w:name w:val="Body Text Indent Char"/>
    <w:basedOn w:val="DefaultParagraphFont"/>
    <w:link w:val="BodyTextIndent"/>
    <w:rsid w:val="00FC07C3"/>
  </w:style>
  <w:style w:type="paragraph" w:customStyle="1" w:styleId="IndentBodyText1">
    <w:name w:val="Indent Body Text 1"/>
    <w:basedOn w:val="Normal"/>
    <w:uiPriority w:val="1"/>
    <w:qFormat/>
    <w:rsid w:val="00540AA0"/>
    <w:pPr>
      <w:ind w:left="567"/>
    </w:pPr>
  </w:style>
  <w:style w:type="paragraph" w:customStyle="1" w:styleId="IndentBodyText2">
    <w:name w:val="Indent Body Text 2"/>
    <w:basedOn w:val="IndentBodyText1"/>
    <w:uiPriority w:val="1"/>
    <w:qFormat/>
    <w:rsid w:val="00540AA0"/>
    <w:pPr>
      <w:ind w:left="1134"/>
    </w:pPr>
  </w:style>
  <w:style w:type="paragraph" w:customStyle="1" w:styleId="IndentBullet1">
    <w:name w:val="Indent Bullet 1"/>
    <w:basedOn w:val="Normal"/>
    <w:uiPriority w:val="1"/>
    <w:qFormat/>
    <w:rsid w:val="00801B89"/>
    <w:pPr>
      <w:numPr>
        <w:numId w:val="10"/>
      </w:numPr>
      <w:spacing w:before="0" w:after="0"/>
    </w:pPr>
  </w:style>
  <w:style w:type="paragraph" w:customStyle="1" w:styleId="IndentBullet2">
    <w:name w:val="Indent Bullet 2"/>
    <w:basedOn w:val="IndentBullet1"/>
    <w:uiPriority w:val="1"/>
    <w:qFormat/>
    <w:rsid w:val="00540AA0"/>
    <w:pPr>
      <w:numPr>
        <w:ilvl w:val="1"/>
      </w:numPr>
    </w:pPr>
  </w:style>
  <w:style w:type="paragraph" w:customStyle="1" w:styleId="TitlePageLogo">
    <w:name w:val="Title Page Logo"/>
    <w:basedOn w:val="NoSpacing"/>
    <w:uiPriority w:val="9"/>
    <w:rsid w:val="00E95C6E"/>
    <w:pPr>
      <w:framePr w:wrap="around" w:vAnchor="page" w:hAnchor="page" w:x="9396" w:y="494"/>
    </w:pPr>
  </w:style>
  <w:style w:type="paragraph" w:customStyle="1" w:styleId="TitlePageDate">
    <w:name w:val="Title Page Date"/>
    <w:basedOn w:val="NoSpacing"/>
    <w:uiPriority w:val="9"/>
    <w:rsid w:val="005C3F10"/>
    <w:pPr>
      <w:framePr w:w="10830" w:wrap="around" w:vAnchor="page" w:hAnchor="page" w:x="455" w:y="7627"/>
      <w:tabs>
        <w:tab w:val="right" w:pos="10773"/>
      </w:tabs>
    </w:pPr>
    <w:rPr>
      <w:color w:val="FFFFFF" w:themeColor="background1"/>
      <w:sz w:val="22"/>
    </w:rPr>
  </w:style>
  <w:style w:type="numbering" w:customStyle="1" w:styleId="List-Headings">
    <w:name w:val="List - Headings"/>
    <w:uiPriority w:val="99"/>
    <w:rsid w:val="004A4A3B"/>
    <w:pPr>
      <w:numPr>
        <w:numId w:val="7"/>
      </w:numPr>
    </w:pPr>
  </w:style>
  <w:style w:type="numbering" w:customStyle="1" w:styleId="List-Bullets">
    <w:name w:val="List - Bullets"/>
    <w:uiPriority w:val="99"/>
    <w:rsid w:val="004A4A3B"/>
    <w:pPr>
      <w:numPr>
        <w:numId w:val="8"/>
      </w:numPr>
    </w:pPr>
  </w:style>
  <w:style w:type="numbering" w:customStyle="1" w:styleId="List-Numbering">
    <w:name w:val="List - Numbering"/>
    <w:uiPriority w:val="99"/>
    <w:rsid w:val="004A4A3B"/>
    <w:pPr>
      <w:numPr>
        <w:numId w:val="9"/>
      </w:numPr>
    </w:pPr>
  </w:style>
  <w:style w:type="numbering" w:customStyle="1" w:styleId="List-IndentedBullets">
    <w:name w:val="List - Indented Bullets"/>
    <w:uiPriority w:val="99"/>
    <w:rsid w:val="004A4A3B"/>
    <w:pPr>
      <w:numPr>
        <w:numId w:val="10"/>
      </w:numPr>
    </w:pPr>
  </w:style>
  <w:style w:type="character" w:styleId="Strong">
    <w:name w:val="Strong"/>
    <w:basedOn w:val="DefaultParagraphFont"/>
    <w:uiPriority w:val="22"/>
    <w:qFormat/>
    <w:rsid w:val="00F557A3"/>
    <w:rPr>
      <w:b/>
      <w:bCs/>
    </w:rPr>
  </w:style>
  <w:style w:type="character" w:customStyle="1" w:styleId="NoSpacingChar">
    <w:name w:val="No Spacing Char"/>
    <w:basedOn w:val="DefaultParagraphFont"/>
    <w:link w:val="NoSpacing"/>
    <w:uiPriority w:val="1"/>
    <w:rsid w:val="002B0889"/>
  </w:style>
  <w:style w:type="paragraph" w:styleId="NormalWeb">
    <w:name w:val="Normal (Web)"/>
    <w:basedOn w:val="Normal"/>
    <w:uiPriority w:val="99"/>
    <w:unhideWhenUsed/>
    <w:rsid w:val="007A0231"/>
    <w:pPr>
      <w:spacing w:beforeAutospacing="1" w:afterAutospacing="1" w:line="240" w:lineRule="auto"/>
    </w:pPr>
    <w:rPr>
      <w:rFonts w:ascii="Times New Roman" w:hAnsi="Times New Roman"/>
      <w:sz w:val="24"/>
      <w:szCs w:val="24"/>
    </w:rPr>
  </w:style>
  <w:style w:type="character" w:styleId="Emphasis">
    <w:name w:val="Emphasis"/>
    <w:basedOn w:val="DefaultParagraphFont"/>
    <w:uiPriority w:val="20"/>
    <w:qFormat/>
    <w:rsid w:val="005F31B1"/>
    <w:rPr>
      <w:i/>
      <w:iCs/>
    </w:rPr>
  </w:style>
  <w:style w:type="paragraph" w:styleId="ListParagraph">
    <w:name w:val="List Paragraph"/>
    <w:basedOn w:val="Normal"/>
    <w:uiPriority w:val="34"/>
    <w:rsid w:val="002D33A9"/>
    <w:pPr>
      <w:ind w:left="720"/>
      <w:contextualSpacing/>
    </w:pPr>
  </w:style>
  <w:style w:type="character" w:styleId="UnresolvedMention">
    <w:name w:val="Unresolved Mention"/>
    <w:basedOn w:val="DefaultParagraphFont"/>
    <w:uiPriority w:val="99"/>
    <w:semiHidden/>
    <w:unhideWhenUsed/>
    <w:rsid w:val="00697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rap.reconciliation.org.au/s/registration"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mornpen.sharepoint.com/SitePages/First%20Nations%20Pillar.aspx"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62D6C5CB84984AE6C50E8255E7A20"/>
        <w:category>
          <w:name w:val="General"/>
          <w:gallery w:val="placeholder"/>
        </w:category>
        <w:types>
          <w:type w:val="bbPlcHdr"/>
        </w:types>
        <w:behaviors>
          <w:behavior w:val="content"/>
        </w:behaviors>
        <w:guid w:val="{7CD83695-4815-42D9-AB52-3D9FD32BB02D}"/>
      </w:docPartPr>
      <w:docPartBody>
        <w:p w:rsidR="00B60F06" w:rsidRDefault="00965BB8">
          <w:pPr>
            <w:pStyle w:val="D4762D6C5CB84984AE6C50E8255E7A20"/>
          </w:pPr>
          <w:r w:rsidRPr="00615C2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6A"/>
    <w:rsid w:val="000209BA"/>
    <w:rsid w:val="00052620"/>
    <w:rsid w:val="000A6907"/>
    <w:rsid w:val="00146B37"/>
    <w:rsid w:val="00170B2A"/>
    <w:rsid w:val="001D0E0D"/>
    <w:rsid w:val="00227A5F"/>
    <w:rsid w:val="00520971"/>
    <w:rsid w:val="00556C44"/>
    <w:rsid w:val="005A3DCC"/>
    <w:rsid w:val="005A4424"/>
    <w:rsid w:val="005F1604"/>
    <w:rsid w:val="0061547D"/>
    <w:rsid w:val="0062646A"/>
    <w:rsid w:val="0067228A"/>
    <w:rsid w:val="0086680F"/>
    <w:rsid w:val="008C5DE5"/>
    <w:rsid w:val="009410C2"/>
    <w:rsid w:val="00965BB8"/>
    <w:rsid w:val="00AB43BA"/>
    <w:rsid w:val="00B4244E"/>
    <w:rsid w:val="00B60F06"/>
    <w:rsid w:val="00B745F1"/>
    <w:rsid w:val="00BD4A96"/>
    <w:rsid w:val="00C32C8E"/>
    <w:rsid w:val="00C938E5"/>
    <w:rsid w:val="00CC4EB9"/>
    <w:rsid w:val="00DA0889"/>
    <w:rsid w:val="00DB43C5"/>
    <w:rsid w:val="00DE68B9"/>
    <w:rsid w:val="00ED0871"/>
    <w:rsid w:val="00F2180D"/>
    <w:rsid w:val="00F326CE"/>
    <w:rsid w:val="00F61A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D4762D6C5CB84984AE6C50E8255E7A20">
    <w:name w:val="D4762D6C5CB84984AE6C50E8255E7A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PS">
      <a:dk1>
        <a:srgbClr val="000000"/>
      </a:dk1>
      <a:lt1>
        <a:sysClr val="window" lastClr="FFFFFF"/>
      </a:lt1>
      <a:dk2>
        <a:srgbClr val="1E4371"/>
      </a:dk2>
      <a:lt2>
        <a:srgbClr val="EEF4FF"/>
      </a:lt2>
      <a:accent1>
        <a:srgbClr val="9ACE6E"/>
      </a:accent1>
      <a:accent2>
        <a:srgbClr val="FFA69E"/>
      </a:accent2>
      <a:accent3>
        <a:srgbClr val="FFC759"/>
      </a:accent3>
      <a:accent4>
        <a:srgbClr val="FF9DCE"/>
      </a:accent4>
      <a:accent5>
        <a:srgbClr val="8CB3FF"/>
      </a:accent5>
      <a:accent6>
        <a:srgbClr val="DDE8FF"/>
      </a:accent6>
      <a:hlink>
        <a:srgbClr val="0000FF"/>
      </a:hlink>
      <a:folHlink>
        <a:srgbClr val="990099"/>
      </a:folHlink>
    </a:clrScheme>
    <a:fontScheme name="MPS">
      <a:majorFont>
        <a:latin typeface="Poppins SemiBold"/>
        <a:ea typeface=""/>
        <a:cs typeface=""/>
      </a:majorFont>
      <a:minorFont>
        <a:latin typeface="Poppi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0D0839CF7F2D45A44210D1205BEB96" ma:contentTypeVersion="13" ma:contentTypeDescription="Create a new document." ma:contentTypeScope="" ma:versionID="8ed12da82099494c741f16cd7341731d">
  <xsd:schema xmlns:xsd="http://www.w3.org/2001/XMLSchema" xmlns:xs="http://www.w3.org/2001/XMLSchema" xmlns:p="http://schemas.microsoft.com/office/2006/metadata/properties" xmlns:ns2="7cc37db0-7f51-4878-98ca-5b266ee1f03e" xmlns:ns3="eda68fb0-5caf-472d-b5ab-32204b346bec" targetNamespace="http://schemas.microsoft.com/office/2006/metadata/properties" ma:root="true" ma:fieldsID="135e0df9ef08f943ccfee9b0e2c17281" ns2:_="" ns3:_="">
    <xsd:import namespace="7cc37db0-7f51-4878-98ca-5b266ee1f03e"/>
    <xsd:import namespace="eda68fb0-5caf-472d-b5ab-32204b346b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37db0-7f51-4878-98ca-5b266ee1f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31e819-4885-4c92-8f14-07404e5817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a68fb0-5caf-472d-b5ab-32204b346b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4ff357-e0d0-4212-82d6-37e72ad5a746}" ma:internalName="TaxCatchAll" ma:showField="CatchAllData" ma:web="eda68fb0-5caf-472d-b5ab-32204b346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eda68fb0-5caf-472d-b5ab-32204b346bec" xsi:nil="true"/>
    <lcf76f155ced4ddcb4097134ff3c332f xmlns="7cc37db0-7f51-4878-98ca-5b266ee1f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57CAB5-90E8-4DD4-A5C2-07D4BE76D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c37db0-7f51-4878-98ca-5b266ee1f03e"/>
    <ds:schemaRef ds:uri="eda68fb0-5caf-472d-b5ab-32204b346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4.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customXml/itemProps5.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eda68fb0-5caf-472d-b5ab-32204b346bec"/>
    <ds:schemaRef ds:uri="7cc37db0-7f51-4878-98ca-5b266ee1f03e"/>
  </ds:schemaRefs>
</ds:datastoreItem>
</file>

<file path=docProps/app.xml><?xml version="1.0" encoding="utf-8"?>
<Properties xmlns="http://schemas.openxmlformats.org/officeDocument/2006/extended-properties" xmlns:vt="http://schemas.openxmlformats.org/officeDocument/2006/docPropsVTypes">
  <Template>Normal.dotm</Template>
  <TotalTime>1314</TotalTime>
  <Pages>24</Pages>
  <Words>6640</Words>
  <Characters>40244</Characters>
  <Application>Microsoft Office Word</Application>
  <DocSecurity>0</DocSecurity>
  <Lines>1749</Lines>
  <Paragraphs>411</Paragraphs>
  <ScaleCrop>false</ScaleCrop>
  <Company/>
  <LinksUpToDate>false</LinksUpToDate>
  <CharactersWithSpaces>46473</CharactersWithSpaces>
  <SharedDoc>false</SharedDoc>
  <HLinks>
    <vt:vector size="30" baseType="variant">
      <vt:variant>
        <vt:i4>4849757</vt:i4>
      </vt:variant>
      <vt:variant>
        <vt:i4>24</vt:i4>
      </vt:variant>
      <vt:variant>
        <vt:i4>0</vt:i4>
      </vt:variant>
      <vt:variant>
        <vt:i4>5</vt:i4>
      </vt:variant>
      <vt:variant>
        <vt:lpwstr>https://rap.reconciliation.org.au/s/registration</vt:lpwstr>
      </vt:variant>
      <vt:variant>
        <vt:lpwstr/>
      </vt:variant>
      <vt:variant>
        <vt:i4>8323172</vt:i4>
      </vt:variant>
      <vt:variant>
        <vt:i4>21</vt:i4>
      </vt:variant>
      <vt:variant>
        <vt:i4>0</vt:i4>
      </vt:variant>
      <vt:variant>
        <vt:i4>5</vt:i4>
      </vt:variant>
      <vt:variant>
        <vt:lpwstr>https://mornpen.sharepoint.com/SitePages/First Nations Pillar.aspx</vt:lpwstr>
      </vt:variant>
      <vt:variant>
        <vt:lpwstr/>
      </vt:variant>
      <vt:variant>
        <vt:i4>1900597</vt:i4>
      </vt:variant>
      <vt:variant>
        <vt:i4>14</vt:i4>
      </vt:variant>
      <vt:variant>
        <vt:i4>0</vt:i4>
      </vt:variant>
      <vt:variant>
        <vt:i4>5</vt:i4>
      </vt:variant>
      <vt:variant>
        <vt:lpwstr/>
      </vt:variant>
      <vt:variant>
        <vt:lpwstr>_Toc237424295</vt:lpwstr>
      </vt:variant>
      <vt:variant>
        <vt:i4>1900597</vt:i4>
      </vt:variant>
      <vt:variant>
        <vt:i4>8</vt:i4>
      </vt:variant>
      <vt:variant>
        <vt:i4>0</vt:i4>
      </vt:variant>
      <vt:variant>
        <vt:i4>5</vt:i4>
      </vt:variant>
      <vt:variant>
        <vt:lpwstr/>
      </vt:variant>
      <vt:variant>
        <vt:lpwstr>_Toc237424294</vt:lpwstr>
      </vt:variant>
      <vt:variant>
        <vt:i4>1900597</vt:i4>
      </vt:variant>
      <vt:variant>
        <vt:i4>2</vt:i4>
      </vt:variant>
      <vt:variant>
        <vt:i4>0</vt:i4>
      </vt:variant>
      <vt:variant>
        <vt:i4>5</vt:i4>
      </vt:variant>
      <vt:variant>
        <vt:lpwstr/>
      </vt:variant>
      <vt:variant>
        <vt:lpwstr>_Toc237424292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Action Plan</dc:title>
  <dc:subject>Towards an Inclusive Mornington Peninsula 2024-2029</dc:subject>
  <dc:creator>Monica Seal</dc:creator>
  <cp:keywords/>
  <dc:description/>
  <cp:lastModifiedBy>Sarah Brown</cp:lastModifiedBy>
  <cp:revision>535</cp:revision>
  <cp:lastPrinted>2025-09-06T13:49:00Z</cp:lastPrinted>
  <dcterms:created xsi:type="dcterms:W3CDTF">2026-08-13T11:02:00Z</dcterms:created>
  <dcterms:modified xsi:type="dcterms:W3CDTF">2026-10-30T01:02:00Z</dcterms:modified>
  <cp:category>Objective ref #00000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0x0101007A0D0839CF7F2D45A44210D1205BEB96</vt:lpwstr>
  </property>
  <property fmtid="{D5CDD505-2E9C-101B-9397-08002B2CF9AE}" pid="3" name="MediaServiceImageTags">
    <vt:lpwstr/>
  </property>
</Properties>
</file>